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1BFEE" w14:textId="77777777" w:rsidR="00A51682" w:rsidRPr="0048151B" w:rsidRDefault="00A51682" w:rsidP="00A51682">
      <w:pPr>
        <w:spacing w:after="0" w:line="240" w:lineRule="auto"/>
        <w:jc w:val="right"/>
        <w:rPr>
          <w:rFonts w:ascii="Calibri" w:eastAsia="Times New Roman" w:hAnsi="Calibri" w:cs="Calibri"/>
          <w:kern w:val="0"/>
          <w:lang w:val="es-ES_tradnl" w:eastAsia="es-ES"/>
          <w14:ligatures w14:val="none"/>
        </w:rPr>
      </w:pPr>
      <w:r w:rsidRPr="0048151B">
        <w:rPr>
          <w:rFonts w:ascii="Calibri" w:eastAsia="Times New Roman" w:hAnsi="Calibri" w:cs="Calibri"/>
          <w:kern w:val="0"/>
          <w:lang w:val="es-ES_tradnl" w:eastAsia="es-ES"/>
          <w14:ligatures w14:val="none"/>
        </w:rPr>
        <w:t xml:space="preserve">Chascomús 21 de </w:t>
      </w:r>
      <w:proofErr w:type="gramStart"/>
      <w:r w:rsidRPr="0048151B">
        <w:rPr>
          <w:rFonts w:ascii="Calibri" w:eastAsia="Times New Roman" w:hAnsi="Calibri" w:cs="Calibri"/>
          <w:kern w:val="0"/>
          <w:lang w:val="es-ES_tradnl" w:eastAsia="es-ES"/>
          <w14:ligatures w14:val="none"/>
        </w:rPr>
        <w:t>Septiembre</w:t>
      </w:r>
      <w:proofErr w:type="gramEnd"/>
      <w:r w:rsidRPr="0048151B">
        <w:rPr>
          <w:rFonts w:ascii="Calibri" w:eastAsia="Times New Roman" w:hAnsi="Calibri" w:cs="Calibri"/>
          <w:kern w:val="0"/>
          <w:lang w:val="es-ES_tradnl" w:eastAsia="es-ES"/>
          <w14:ligatures w14:val="none"/>
        </w:rPr>
        <w:t xml:space="preserve"> 2026.</w:t>
      </w:r>
    </w:p>
    <w:p w14:paraId="0E4CD22C" w14:textId="77777777" w:rsidR="00A51682" w:rsidRPr="0048151B" w:rsidRDefault="00A51682" w:rsidP="00A51682">
      <w:pPr>
        <w:spacing w:after="0" w:line="240" w:lineRule="auto"/>
        <w:rPr>
          <w:rFonts w:ascii="Calibri" w:eastAsia="Times New Roman" w:hAnsi="Calibri" w:cs="Calibri"/>
          <w:kern w:val="0"/>
          <w:lang w:val="es-ES_tradnl" w:eastAsia="es-ES"/>
          <w14:ligatures w14:val="none"/>
        </w:rPr>
      </w:pPr>
    </w:p>
    <w:p w14:paraId="3427AB1E" w14:textId="77777777" w:rsidR="00A51682" w:rsidRPr="0048151B" w:rsidRDefault="00A51682" w:rsidP="00A51682">
      <w:pPr>
        <w:spacing w:after="0" w:line="240" w:lineRule="auto"/>
        <w:rPr>
          <w:rFonts w:ascii="Calibri" w:eastAsia="Times New Roman" w:hAnsi="Calibri" w:cs="Calibri"/>
          <w:kern w:val="0"/>
          <w:lang w:val="es-ES_tradnl" w:eastAsia="es-ES"/>
          <w14:ligatures w14:val="none"/>
        </w:rPr>
      </w:pPr>
    </w:p>
    <w:p w14:paraId="70DC5C29" w14:textId="77777777" w:rsidR="00A51682" w:rsidRPr="0048151B" w:rsidRDefault="00A51682" w:rsidP="00A51682">
      <w:pPr>
        <w:spacing w:after="0" w:line="240" w:lineRule="auto"/>
        <w:rPr>
          <w:rFonts w:ascii="Calibri" w:eastAsia="Times New Roman" w:hAnsi="Calibri" w:cs="Calibri"/>
          <w:b/>
          <w:kern w:val="0"/>
          <w:lang w:val="es-ES_tradnl" w:eastAsia="es-ES"/>
          <w14:ligatures w14:val="none"/>
        </w:rPr>
      </w:pPr>
      <w:r w:rsidRPr="0048151B">
        <w:rPr>
          <w:rFonts w:ascii="Calibri" w:eastAsia="Times New Roman" w:hAnsi="Calibri" w:cs="Calibri"/>
          <w:b/>
          <w:kern w:val="0"/>
          <w:lang w:val="es-ES_tradnl" w:eastAsia="es-ES"/>
          <w14:ligatures w14:val="none"/>
        </w:rPr>
        <w:t>Sr. Presidente del</w:t>
      </w:r>
    </w:p>
    <w:p w14:paraId="50C88EEC" w14:textId="77777777" w:rsidR="00A51682" w:rsidRPr="0048151B" w:rsidRDefault="00A51682" w:rsidP="00A51682">
      <w:pPr>
        <w:spacing w:after="0" w:line="240" w:lineRule="auto"/>
        <w:rPr>
          <w:rFonts w:ascii="Calibri" w:eastAsia="Times New Roman" w:hAnsi="Calibri" w:cs="Calibri"/>
          <w:b/>
          <w:kern w:val="0"/>
          <w:lang w:val="es-ES_tradnl" w:eastAsia="es-ES"/>
          <w14:ligatures w14:val="none"/>
        </w:rPr>
      </w:pPr>
      <w:r w:rsidRPr="0048151B">
        <w:rPr>
          <w:rFonts w:ascii="Calibri" w:eastAsia="Times New Roman" w:hAnsi="Calibri" w:cs="Calibri"/>
          <w:b/>
          <w:kern w:val="0"/>
          <w:lang w:val="es-ES_tradnl" w:eastAsia="es-ES"/>
          <w14:ligatures w14:val="none"/>
        </w:rPr>
        <w:t>Honorable Concejo Deliberante</w:t>
      </w:r>
    </w:p>
    <w:p w14:paraId="391FE1A8" w14:textId="77777777" w:rsidR="00A51682" w:rsidRPr="0048151B" w:rsidRDefault="00A51682" w:rsidP="00A51682">
      <w:pPr>
        <w:spacing w:after="0" w:line="240" w:lineRule="auto"/>
        <w:rPr>
          <w:rFonts w:ascii="Calibri" w:eastAsia="Times New Roman" w:hAnsi="Calibri" w:cs="Calibri"/>
          <w:b/>
          <w:kern w:val="0"/>
          <w:lang w:val="es-ES" w:eastAsia="es-ES"/>
          <w14:ligatures w14:val="none"/>
        </w:rPr>
      </w:pPr>
      <w:r w:rsidRPr="0048151B">
        <w:rPr>
          <w:rFonts w:ascii="Calibri" w:eastAsia="Times New Roman" w:hAnsi="Calibri" w:cs="Calibri"/>
          <w:b/>
          <w:kern w:val="0"/>
          <w:lang w:val="es-ES" w:eastAsia="es-ES"/>
          <w14:ligatures w14:val="none"/>
        </w:rPr>
        <w:t>Sr. Oscar Freddy Toledo</w:t>
      </w:r>
    </w:p>
    <w:p w14:paraId="1720AF6B" w14:textId="77777777" w:rsidR="00A51682" w:rsidRPr="0048151B" w:rsidRDefault="00A51682" w:rsidP="00A51682">
      <w:pPr>
        <w:spacing w:after="0" w:line="240" w:lineRule="auto"/>
        <w:rPr>
          <w:rFonts w:ascii="Calibri" w:eastAsia="Times New Roman" w:hAnsi="Calibri" w:cs="Calibri"/>
          <w:b/>
          <w:kern w:val="0"/>
          <w:lang w:val="es-ES" w:eastAsia="es-ES"/>
          <w14:ligatures w14:val="none"/>
        </w:rPr>
      </w:pPr>
      <w:r w:rsidRPr="0048151B">
        <w:rPr>
          <w:rFonts w:ascii="Calibri" w:eastAsia="Times New Roman" w:hAnsi="Calibri" w:cs="Calibri"/>
          <w:b/>
          <w:kern w:val="0"/>
          <w:lang w:val="es-ES" w:eastAsia="es-ES"/>
          <w14:ligatures w14:val="none"/>
        </w:rPr>
        <w:t>S/D</w:t>
      </w:r>
    </w:p>
    <w:p w14:paraId="5BF656FD" w14:textId="77777777" w:rsidR="00A51682" w:rsidRPr="0048151B" w:rsidRDefault="00A51682" w:rsidP="00A51682">
      <w:pPr>
        <w:spacing w:after="0" w:line="240" w:lineRule="auto"/>
        <w:rPr>
          <w:rFonts w:ascii="Calibri" w:eastAsia="Times New Roman" w:hAnsi="Calibri" w:cs="Calibri"/>
          <w:b/>
          <w:kern w:val="0"/>
          <w:lang w:val="es-ES" w:eastAsia="es-ES"/>
          <w14:ligatures w14:val="none"/>
        </w:rPr>
      </w:pPr>
    </w:p>
    <w:p w14:paraId="14740DD1" w14:textId="77777777" w:rsidR="00A51682" w:rsidRPr="00A51682" w:rsidRDefault="00A51682" w:rsidP="00A51682">
      <w:pPr>
        <w:spacing w:after="0" w:line="240" w:lineRule="auto"/>
        <w:rPr>
          <w:rFonts w:ascii="Arial" w:eastAsia="Times New Roman" w:hAnsi="Arial" w:cs="Arial"/>
          <w:kern w:val="0"/>
          <w:szCs w:val="24"/>
          <w:lang w:val="es-ES_tradnl" w:eastAsia="es-ES"/>
          <w14:ligatures w14:val="none"/>
        </w:rPr>
      </w:pPr>
      <w:r w:rsidRPr="00A51682">
        <w:rPr>
          <w:rFonts w:ascii="Arial" w:eastAsia="Times New Roman" w:hAnsi="Arial" w:cs="Arial"/>
          <w:kern w:val="0"/>
          <w:szCs w:val="24"/>
          <w:lang w:val="es-ES_tradnl" w:eastAsia="es-ES"/>
          <w14:ligatures w14:val="none"/>
        </w:rPr>
        <w:t>De nuestra mayor consideración:</w:t>
      </w:r>
    </w:p>
    <w:p w14:paraId="4342BF9A" w14:textId="77777777" w:rsidR="00A51682" w:rsidRPr="00A51682" w:rsidRDefault="00A51682" w:rsidP="00A51682">
      <w:pPr>
        <w:spacing w:after="0" w:line="240" w:lineRule="auto"/>
        <w:rPr>
          <w:rFonts w:ascii="Arial" w:eastAsia="Times New Roman" w:hAnsi="Arial" w:cs="Arial"/>
          <w:kern w:val="0"/>
          <w:szCs w:val="24"/>
          <w:lang w:val="es-ES_tradnl" w:eastAsia="es-ES"/>
          <w14:ligatures w14:val="none"/>
        </w:rPr>
      </w:pPr>
      <w:r w:rsidRPr="00A51682">
        <w:rPr>
          <w:rFonts w:ascii="Arial" w:eastAsia="Times New Roman" w:hAnsi="Arial" w:cs="Arial"/>
          <w:kern w:val="0"/>
          <w:szCs w:val="24"/>
          <w:lang w:val="es-ES_tradnl" w:eastAsia="es-ES"/>
          <w14:ligatures w14:val="none"/>
        </w:rPr>
        <w:t xml:space="preserve">                                                     Remitimos copia del presente proyecto para ser incluida en el orden del día de la próxima sesión</w:t>
      </w:r>
    </w:p>
    <w:p w14:paraId="620DB4FE" w14:textId="77777777" w:rsidR="00A51682" w:rsidRDefault="00A51682" w:rsidP="002B24F1">
      <w:pPr>
        <w:spacing w:before="100" w:beforeAutospacing="1" w:after="100" w:afterAutospacing="1" w:line="240" w:lineRule="auto"/>
        <w:jc w:val="both"/>
        <w:rPr>
          <w:rFonts w:ascii="Arial" w:eastAsia="Times New Roman" w:hAnsi="Arial" w:cs="Arial"/>
          <w:b/>
          <w:bCs/>
          <w:kern w:val="0"/>
          <w:sz w:val="24"/>
          <w:szCs w:val="24"/>
          <w:lang w:val="es-ES_tradnl" w:eastAsia="es-AR"/>
          <w14:ligatures w14:val="none"/>
        </w:rPr>
      </w:pPr>
    </w:p>
    <w:p w14:paraId="3C826652" w14:textId="1FD82372" w:rsidR="002B24F1" w:rsidRPr="00A51682" w:rsidRDefault="00A51682" w:rsidP="002B24F1">
      <w:pPr>
        <w:spacing w:before="100" w:beforeAutospacing="1" w:after="100" w:afterAutospacing="1" w:line="240" w:lineRule="auto"/>
        <w:jc w:val="both"/>
        <w:rPr>
          <w:rFonts w:ascii="Arial" w:eastAsia="Times New Roman" w:hAnsi="Arial" w:cs="Arial"/>
          <w:b/>
          <w:bCs/>
          <w:kern w:val="0"/>
          <w:sz w:val="24"/>
          <w:szCs w:val="24"/>
          <w:u w:val="single"/>
          <w:lang w:eastAsia="es-AR"/>
          <w14:ligatures w14:val="none"/>
        </w:rPr>
      </w:pPr>
      <w:r w:rsidRPr="00A51682">
        <w:rPr>
          <w:rFonts w:ascii="Arial" w:eastAsia="Times New Roman" w:hAnsi="Arial" w:cs="Arial"/>
          <w:b/>
          <w:bCs/>
          <w:kern w:val="0"/>
          <w:sz w:val="24"/>
          <w:szCs w:val="24"/>
          <w:u w:val="single"/>
          <w:lang w:eastAsia="es-AR"/>
          <w14:ligatures w14:val="none"/>
        </w:rPr>
        <w:t xml:space="preserve">TÍTULO: </w:t>
      </w:r>
      <w:r w:rsidR="002B24F1" w:rsidRPr="00A51682">
        <w:rPr>
          <w:rFonts w:ascii="Arial" w:eastAsia="Times New Roman" w:hAnsi="Arial" w:cs="Arial"/>
          <w:b/>
          <w:bCs/>
          <w:kern w:val="0"/>
          <w:sz w:val="24"/>
          <w:szCs w:val="24"/>
          <w:u w:val="single"/>
          <w:lang w:eastAsia="es-AR"/>
          <w14:ligatures w14:val="none"/>
        </w:rPr>
        <w:t>Estatuto del Docente Municipal</w:t>
      </w:r>
    </w:p>
    <w:p w14:paraId="719C3DC4" w14:textId="41D486A2" w:rsidR="002B24F1" w:rsidRPr="002B24F1" w:rsidRDefault="002B24F1" w:rsidP="002B24F1">
      <w:pPr>
        <w:spacing w:before="100" w:beforeAutospacing="1" w:after="100" w:afterAutospacing="1" w:line="240" w:lineRule="auto"/>
        <w:jc w:val="both"/>
        <w:rPr>
          <w:rFonts w:ascii="Arial" w:eastAsia="Times New Roman" w:hAnsi="Arial" w:cs="Arial"/>
          <w:kern w:val="0"/>
          <w:sz w:val="24"/>
          <w:szCs w:val="24"/>
          <w:lang w:eastAsia="es-AR"/>
          <w14:ligatures w14:val="none"/>
        </w:rPr>
      </w:pPr>
      <w:r w:rsidRPr="002B24F1">
        <w:rPr>
          <w:rFonts w:ascii="Arial" w:eastAsia="Times New Roman" w:hAnsi="Arial" w:cs="Arial"/>
          <w:b/>
          <w:bCs/>
          <w:kern w:val="0"/>
          <w:sz w:val="24"/>
          <w:szCs w:val="24"/>
          <w:lang w:eastAsia="es-AR"/>
          <w14:ligatures w14:val="none"/>
        </w:rPr>
        <w:t>VISTO</w:t>
      </w:r>
      <w:r w:rsidR="00A51682">
        <w:rPr>
          <w:rFonts w:ascii="Arial" w:eastAsia="Times New Roman" w:hAnsi="Arial" w:cs="Arial"/>
          <w:b/>
          <w:bCs/>
          <w:kern w:val="0"/>
          <w:sz w:val="24"/>
          <w:szCs w:val="24"/>
          <w:lang w:eastAsia="es-AR"/>
          <w14:ligatures w14:val="none"/>
        </w:rPr>
        <w:t>:</w:t>
      </w:r>
      <w:bookmarkStart w:id="0" w:name="_GoBack"/>
      <w:bookmarkEnd w:id="0"/>
    </w:p>
    <w:p w14:paraId="11FA6A36" w14:textId="77777777" w:rsidR="002B24F1" w:rsidRPr="002B24F1" w:rsidRDefault="002B24F1" w:rsidP="002B24F1">
      <w:pPr>
        <w:spacing w:before="100" w:beforeAutospacing="1" w:after="100" w:afterAutospacing="1"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La Ordenanza N° 3437/2004, que aprueba el Estatuto y Escalafón del Personal Docente Municipal.</w:t>
      </w:r>
    </w:p>
    <w:p w14:paraId="4EC96392" w14:textId="77777777" w:rsidR="002B24F1" w:rsidRPr="002B24F1" w:rsidRDefault="002B24F1" w:rsidP="002B24F1">
      <w:pPr>
        <w:spacing w:before="100" w:beforeAutospacing="1" w:after="100" w:afterAutospacing="1" w:line="240" w:lineRule="auto"/>
        <w:jc w:val="both"/>
        <w:rPr>
          <w:rFonts w:ascii="Arial" w:eastAsia="Times New Roman" w:hAnsi="Arial" w:cs="Arial"/>
          <w:kern w:val="0"/>
          <w:sz w:val="24"/>
          <w:szCs w:val="24"/>
          <w:lang w:eastAsia="es-AR"/>
          <w14:ligatures w14:val="none"/>
        </w:rPr>
      </w:pPr>
      <w:r w:rsidRPr="002B24F1">
        <w:rPr>
          <w:rFonts w:ascii="Arial" w:eastAsia="Times New Roman" w:hAnsi="Arial" w:cs="Arial"/>
          <w:b/>
          <w:bCs/>
          <w:kern w:val="0"/>
          <w:sz w:val="24"/>
          <w:szCs w:val="24"/>
          <w:lang w:eastAsia="es-AR"/>
          <w14:ligatures w14:val="none"/>
        </w:rPr>
        <w:t>CONSIDERANDO:</w:t>
      </w:r>
    </w:p>
    <w:p w14:paraId="1EFDBC98"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su texto es anterior a la sanción de la Ley de Educación Nacional 26.206 y a la Ley de Educación Provincial 13.688;</w:t>
      </w:r>
    </w:p>
    <w:p w14:paraId="0738E3EC"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dichas leyes introdujeron cambios en la obligatoriedad de la enseñanza y en la organización de los niveles obligatorios;</w:t>
      </w:r>
    </w:p>
    <w:p w14:paraId="2C8C79E6"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con posterioridad a la promulgación del Estatuto se sancionó también la Ley Nacional 26.061 de Protección Integral de los Derechos de las Niñas, Niños y Adolescentes;</w:t>
      </w:r>
    </w:p>
    <w:p w14:paraId="242D49FE"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proofErr w:type="gramStart"/>
      <w:r w:rsidRPr="002B24F1">
        <w:rPr>
          <w:rFonts w:ascii="Arial" w:eastAsia="Times New Roman" w:hAnsi="Arial" w:cs="Arial"/>
          <w:kern w:val="0"/>
          <w:lang w:eastAsia="es-AR"/>
          <w14:ligatures w14:val="none"/>
        </w:rPr>
        <w:t>Que</w:t>
      </w:r>
      <w:proofErr w:type="gramEnd"/>
      <w:r w:rsidRPr="002B24F1">
        <w:rPr>
          <w:rFonts w:ascii="Arial" w:eastAsia="Times New Roman" w:hAnsi="Arial" w:cs="Arial"/>
          <w:kern w:val="0"/>
          <w:lang w:eastAsia="es-AR"/>
          <w14:ligatures w14:val="none"/>
        </w:rPr>
        <w:t xml:space="preserve"> al momento de su sanción, la Municipalidad contaba con servicios educativos de nivel primario e inicial;</w:t>
      </w:r>
    </w:p>
    <w:p w14:paraId="787C5C27"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desde el año 2014 se agregó al sistema educativo municipal una Escuela Secundaria unificada, cuyas especificidades no se encuentran contempladas en el Estatuto;</w:t>
      </w:r>
    </w:p>
    <w:p w14:paraId="55E83DED"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la Municipalidad de Chascomús, para la remuneración de su personal docente, aplica la escala salarial de la Provincia de Buenos Aires, así como reconoce los mismos derechos y obligaciones, régimen de licencias y criterios previsionales; tanto para los cargos subvencionados como para los no subvencionados;</w:t>
      </w:r>
    </w:p>
    <w:p w14:paraId="499C8D61"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en ese sentido es conveniente remitirse a la normativa provincial en los aspectos en que no se difiere de ella;</w:t>
      </w:r>
    </w:p>
    <w:p w14:paraId="15E8ABBD"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 xml:space="preserve">Que la Provincia de Buenos Aires es responsable de garantizar el financiamiento del sistema educativo, y en ese sentido la Municipalidad de Chascomús debe apuntar al </w:t>
      </w:r>
      <w:r w:rsidRPr="002B24F1">
        <w:rPr>
          <w:rFonts w:ascii="Arial" w:eastAsia="Times New Roman" w:hAnsi="Arial" w:cs="Arial"/>
          <w:kern w:val="0"/>
          <w:lang w:eastAsia="es-AR"/>
          <w14:ligatures w14:val="none"/>
        </w:rPr>
        <w:lastRenderedPageBreak/>
        <w:t>máximo posible de subvención provincial de cargos, horas cátedra y módulos docentes, a través de la Dirección de Educación de Gestión Privada (DIEGEP) u organismo que se establezca;</w:t>
      </w:r>
    </w:p>
    <w:p w14:paraId="1A1141E9"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para ello es necesario adecuar los criterios de acceso a la docencia municipal a los establecidos por dicha Dirección;</w:t>
      </w:r>
    </w:p>
    <w:p w14:paraId="231A4FBA"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desde la sanción del Estatuto del Docente Municipal se introdujeron numerosas reformas a través de ordenanzas, no siempre contemplando el mecanismo establecido por el propio Estatuto en su artículo 163°;</w:t>
      </w:r>
    </w:p>
    <w:p w14:paraId="4371625E"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se hace necesario reunir en un único texto las diferentes disposiciones en materia de regulación del trabajo docente;</w:t>
      </w:r>
    </w:p>
    <w:p w14:paraId="6FD79B25"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resulta imprescindible actualizar terminología y paradigmas, en especial en lo vinculado a la promoción y protección de los derechos de niños, niñas y adolescentes;</w:t>
      </w:r>
    </w:p>
    <w:p w14:paraId="3D67C2F8"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a partir de la aplicación práctica del Estatuto surge la necesidad de incorporar situaciones no previstas por el mismo y modificar artículos cuya redacción dé lugar a diferentes interpretaciones;</w:t>
      </w:r>
    </w:p>
    <w:p w14:paraId="50AF668E" w14:textId="77777777" w:rsidR="002B24F1" w:rsidRPr="002B24F1" w:rsidRDefault="002B24F1" w:rsidP="00A51682">
      <w:pPr>
        <w:spacing w:before="120" w:after="120" w:line="240" w:lineRule="auto"/>
        <w:jc w:val="both"/>
        <w:rPr>
          <w:rFonts w:ascii="Arial" w:eastAsia="Times New Roman" w:hAnsi="Arial" w:cs="Arial"/>
          <w:kern w:val="0"/>
          <w:lang w:eastAsia="es-AR"/>
          <w14:ligatures w14:val="none"/>
        </w:rPr>
      </w:pPr>
      <w:r w:rsidRPr="002B24F1">
        <w:rPr>
          <w:rFonts w:ascii="Arial" w:eastAsia="Times New Roman" w:hAnsi="Arial" w:cs="Arial"/>
          <w:kern w:val="0"/>
          <w:lang w:eastAsia="es-AR"/>
          <w14:ligatures w14:val="none"/>
        </w:rPr>
        <w:t>Que asimismo algunos docentes y sus entidades gremiales han solicitado modificaciones en lo referido a las condiciones exigibles para el acceso a acciones estatutarias como acrecentamientos, movimientos y ascensos;</w:t>
      </w:r>
    </w:p>
    <w:p w14:paraId="73FE33D8" w14:textId="77777777" w:rsidR="002B24F1" w:rsidRPr="002B24F1" w:rsidRDefault="002B24F1" w:rsidP="002B24F1">
      <w:pPr>
        <w:spacing w:before="100" w:beforeAutospacing="1" w:after="100" w:afterAutospacing="1" w:line="240" w:lineRule="auto"/>
        <w:jc w:val="both"/>
        <w:rPr>
          <w:rFonts w:ascii="Arial" w:eastAsia="Times New Roman" w:hAnsi="Arial" w:cs="Arial"/>
          <w:b/>
          <w:bCs/>
          <w:kern w:val="0"/>
          <w:lang w:eastAsia="es-AR"/>
          <w14:ligatures w14:val="none"/>
        </w:rPr>
      </w:pPr>
      <w:r w:rsidRPr="002B24F1">
        <w:rPr>
          <w:rFonts w:ascii="Arial" w:eastAsia="Times New Roman" w:hAnsi="Arial" w:cs="Arial"/>
          <w:b/>
          <w:bCs/>
          <w:kern w:val="0"/>
          <w:lang w:eastAsia="es-AR"/>
          <w14:ligatures w14:val="none"/>
        </w:rPr>
        <w:t xml:space="preserve">Por ello, los concejales de </w:t>
      </w:r>
      <w:proofErr w:type="spellStart"/>
      <w:r w:rsidRPr="002B24F1">
        <w:rPr>
          <w:rFonts w:ascii="Arial" w:eastAsia="Times New Roman" w:hAnsi="Arial" w:cs="Arial"/>
          <w:b/>
          <w:bCs/>
          <w:kern w:val="0"/>
          <w:lang w:eastAsia="es-AR"/>
          <w14:ligatures w14:val="none"/>
        </w:rPr>
        <w:t>UxCH</w:t>
      </w:r>
      <w:proofErr w:type="spellEnd"/>
      <w:r w:rsidRPr="002B24F1">
        <w:rPr>
          <w:rFonts w:ascii="Arial" w:eastAsia="Times New Roman" w:hAnsi="Arial" w:cs="Arial"/>
          <w:b/>
          <w:bCs/>
          <w:kern w:val="0"/>
          <w:lang w:eastAsia="es-AR"/>
          <w14:ligatures w14:val="none"/>
        </w:rPr>
        <w:t xml:space="preserve"> y </w:t>
      </w:r>
      <w:proofErr w:type="spellStart"/>
      <w:r w:rsidRPr="002B24F1">
        <w:rPr>
          <w:rFonts w:ascii="Arial" w:eastAsia="Times New Roman" w:hAnsi="Arial" w:cs="Arial"/>
          <w:b/>
          <w:bCs/>
          <w:kern w:val="0"/>
          <w:lang w:eastAsia="es-AR"/>
          <w14:ligatures w14:val="none"/>
        </w:rPr>
        <w:t>UxCH</w:t>
      </w:r>
      <w:proofErr w:type="spellEnd"/>
      <w:r w:rsidRPr="002B24F1">
        <w:rPr>
          <w:rFonts w:ascii="Arial" w:eastAsia="Times New Roman" w:hAnsi="Arial" w:cs="Arial"/>
          <w:b/>
          <w:bCs/>
          <w:kern w:val="0"/>
          <w:lang w:eastAsia="es-AR"/>
          <w14:ligatures w14:val="none"/>
        </w:rPr>
        <w:t>/FP proponen el siguiente proyecto de</w:t>
      </w:r>
    </w:p>
    <w:p w14:paraId="7A17D2A3" w14:textId="77777777" w:rsidR="002B24F1" w:rsidRPr="002B24F1" w:rsidRDefault="002B24F1" w:rsidP="002B24F1">
      <w:pPr>
        <w:spacing w:before="100" w:beforeAutospacing="1" w:after="100" w:afterAutospacing="1" w:line="240" w:lineRule="auto"/>
        <w:jc w:val="both"/>
        <w:rPr>
          <w:rFonts w:ascii="Times New Roman" w:eastAsia="Times New Roman" w:hAnsi="Times New Roman" w:cs="Times New Roman"/>
          <w:b/>
          <w:kern w:val="0"/>
          <w:sz w:val="28"/>
          <w:szCs w:val="18"/>
          <w:lang w:eastAsia="es-AR"/>
          <w14:ligatures w14:val="none"/>
        </w:rPr>
      </w:pPr>
      <w:r w:rsidRPr="002B24F1">
        <w:rPr>
          <w:rFonts w:ascii="Arial" w:eastAsia="Times New Roman" w:hAnsi="Arial" w:cs="Arial"/>
          <w:b/>
          <w:bCs/>
          <w:kern w:val="0"/>
          <w:lang w:eastAsia="es-AR"/>
          <w14:ligatures w14:val="none"/>
        </w:rPr>
        <w:t>ORDENANZA</w:t>
      </w:r>
      <w:r w:rsidRPr="002B24F1">
        <w:rPr>
          <w:rFonts w:ascii="Arial" w:eastAsia="Times New Roman" w:hAnsi="Arial" w:cs="Arial"/>
          <w:b/>
          <w:bCs/>
          <w:kern w:val="0"/>
          <w:lang w:eastAsia="es-AR"/>
          <w14:ligatures w14:val="none"/>
        </w:rPr>
        <w:br/>
      </w:r>
    </w:p>
    <w:p w14:paraId="3426FB4E" w14:textId="77777777" w:rsidR="00A51682" w:rsidRDefault="002B24F1" w:rsidP="00A51682">
      <w:pPr>
        <w:spacing w:after="200" w:line="276" w:lineRule="auto"/>
        <w:jc w:val="both"/>
        <w:rPr>
          <w:rFonts w:ascii="Arial" w:eastAsia="MS Mincho" w:hAnsi="Arial" w:cs="Times New Roman"/>
          <w:b/>
          <w:kern w:val="0"/>
          <w:sz w:val="24"/>
          <w:szCs w:val="18"/>
          <w:lang w:val="es-ES"/>
          <w14:ligatures w14:val="none"/>
        </w:rPr>
      </w:pPr>
      <w:r w:rsidRPr="00A51682">
        <w:rPr>
          <w:rFonts w:ascii="Arial" w:eastAsia="MS Mincho" w:hAnsi="Arial" w:cs="Times New Roman"/>
          <w:b/>
          <w:kern w:val="0"/>
          <w:sz w:val="24"/>
          <w:szCs w:val="18"/>
          <w:lang w:val="es-ES"/>
          <w14:ligatures w14:val="none"/>
        </w:rPr>
        <w:t>ESTATUTO Y ESCALAFÓN DEL PERSONAL DOCENTE MUNICIPAL</w:t>
      </w:r>
    </w:p>
    <w:p w14:paraId="24A1ACA4" w14:textId="6EF7D157" w:rsidR="002B24F1" w:rsidRPr="002B24F1" w:rsidRDefault="002B24F1" w:rsidP="00A51682">
      <w:pPr>
        <w:spacing w:after="200" w:line="276" w:lineRule="auto"/>
        <w:jc w:val="both"/>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I — DEL ESTADO DOCENTE</w:t>
      </w:r>
    </w:p>
    <w:p w14:paraId="6968CE4A" w14:textId="5683AD2F"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presente Estatuto regula los derechos, obligaciones, carrera, escalafón, clasificación, designación y régimen disciplinario del personal docente dependiente de la Municipalidad de Chascomús.</w:t>
      </w:r>
    </w:p>
    <w:p w14:paraId="74BEEE5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Se considera personal docente, a los efectos de este Estatuto, a quienes, debidamente habilitados, desempeñen funciones pedagógicas, de conducción, orientación, apoyo o asistencia directa a la actividad educativa en instituciones educativas dependientes de la Municipalidad de Chascomús.</w:t>
      </w:r>
    </w:p>
    <w:p w14:paraId="5BCB147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adquiere los derechos y contrae las obligaciones inherentes a su función desde la toma de posesión, con las limitaciones propias de cada situación de revista. La estabilidad se adquirirá conforme al presente Estatuto.</w:t>
      </w:r>
    </w:p>
    <w:p w14:paraId="18DCF95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Situación de revista. </w:t>
      </w:r>
      <w:r w:rsidRPr="002B24F1">
        <w:rPr>
          <w:rFonts w:ascii="Arial" w:eastAsia="MS Mincho" w:hAnsi="Arial" w:cs="Times New Roman"/>
          <w:kern w:val="0"/>
          <w:sz w:val="21"/>
          <w:lang w:val="es-ES"/>
          <w14:ligatures w14:val="none"/>
        </w:rPr>
        <w:t>La situación de revista del personal docente será activa o pasiva. a) Situación activa: cuando el docente se encuentre desempeñando efectivamente sus funciones o se halle en alguna situación que, conforme al presente Estatuto o a la normativa aplicable, no implique el pase a situación pasiva. b) Situación pasiva: cuando el docente se encuentre: 1. en uso de licencia sin goce de haberes; 2. en situación de disponibilidad sin goce de haberes; o 3. suspendido preventivamente o por aplicación de una sanción disciplinaria, cuando corresponda. El uso de licencias con goce de haberes no modificará por sí mismo la situación activa del docente.</w:t>
      </w:r>
    </w:p>
    <w:p w14:paraId="7057405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Pérdida de la condición docente. </w:t>
      </w:r>
      <w:r w:rsidRPr="002B24F1">
        <w:rPr>
          <w:rFonts w:ascii="Arial" w:eastAsia="MS Mincho" w:hAnsi="Arial" w:cs="Times New Roman"/>
          <w:kern w:val="0"/>
          <w:sz w:val="21"/>
          <w:lang w:val="es-ES"/>
          <w14:ligatures w14:val="none"/>
        </w:rPr>
        <w:t xml:space="preserve">La condición docente se perderá por las causales de cese previstas en el presente Estatuto, por acogimiento a los beneficios jubilatorios o por el pase definitivo del agente al escalafón general municipal. El personal que, por disminución o pérdida de la aptitud psicofísica necesaria para el desempeño de su función, acceda a un cambio de funciones conservará la condición docente únicamente cuando continúe prestando servicios en una institución educativa dependiente de la Municipalidad de Chascomús, desempeñando funciones pedagógicas, técnico-pedagógicas, de orientación, apoyo o asistencia directa a la actividad educativa. Cuando el agente no pudiera ser reubicado en tales condiciones, podrá optar por su pase al escalafón general municipal para el desempeño de funciones compatibles con su aptitud psicofísica. La </w:t>
      </w:r>
      <w:proofErr w:type="spellStart"/>
      <w:r w:rsidRPr="002B24F1">
        <w:rPr>
          <w:rFonts w:ascii="Arial" w:eastAsia="MS Mincho" w:hAnsi="Arial" w:cs="Times New Roman"/>
          <w:kern w:val="0"/>
          <w:sz w:val="21"/>
          <w:lang w:val="es-ES"/>
          <w14:ligatures w14:val="none"/>
        </w:rPr>
        <w:t>efectivización</w:t>
      </w:r>
      <w:proofErr w:type="spellEnd"/>
      <w:r w:rsidRPr="002B24F1">
        <w:rPr>
          <w:rFonts w:ascii="Arial" w:eastAsia="MS Mincho" w:hAnsi="Arial" w:cs="Times New Roman"/>
          <w:kern w:val="0"/>
          <w:sz w:val="21"/>
          <w:lang w:val="es-ES"/>
          <w14:ligatures w14:val="none"/>
        </w:rPr>
        <w:t xml:space="preserve"> de dicho pase implicará la pérdida de la condición docente, sin perjuicio del reconocimiento de los servicios docentes prestados con anterioridad.</w:t>
      </w:r>
    </w:p>
    <w:p w14:paraId="5E4C6ED2"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II — DE LOS DERECHOS Y OBLIGACIONES</w:t>
      </w:r>
    </w:p>
    <w:p w14:paraId="35445C0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 xml:space="preserve">ARTÍCULO 6°.- </w:t>
      </w:r>
      <w:r w:rsidRPr="002B24F1">
        <w:rPr>
          <w:rFonts w:ascii="Arial" w:eastAsia="MS Mincho" w:hAnsi="Arial" w:cs="Times New Roman"/>
          <w:kern w:val="0"/>
          <w:sz w:val="21"/>
          <w:lang w:val="es-ES"/>
          <w14:ligatures w14:val="none"/>
        </w:rPr>
        <w:t>Son obligaciones del personal docente: desempeñar digna, eficaz y lealmente sus funciones; respetar el orden constitucional y democrático; proteger y promover los derechos de niñas, niños y adolescentes; cumplir las normas educativas y municipales aplicables y las órdenes legítimas de autoridad competente; observar el horario y deber de asistencia; mantener actualizados sus conocimientos; respetar a estudiantes, familias, pares y autoridades; conservar los bienes públicos; mantener reserva respecto de asuntos que por su naturaleza la requieran; declarar y mantener actualizado su domicilio; prestar declaración cuando legalmente corresponda; y cumplir las demás obligaciones previstas en este Estatuto.</w:t>
      </w:r>
    </w:p>
    <w:p w14:paraId="1A8C8943"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 xml:space="preserve">ARTÍCULO 7°.- </w:t>
      </w:r>
      <w:r w:rsidRPr="002B24F1">
        <w:rPr>
          <w:rFonts w:ascii="Arial" w:eastAsia="MS Mincho" w:hAnsi="Arial" w:cs="Times New Roman"/>
          <w:kern w:val="0"/>
          <w:sz w:val="21"/>
          <w:lang w:val="es-ES"/>
          <w14:ligatures w14:val="none"/>
        </w:rPr>
        <w:t>El personal docente titular tendrá derecho a la estabilidad; remuneración y beneficios previsionales; carrera docente; movimientos, permutas, reincorporación y acrecentamiento en los casos previstos; capacitación; licencias; descanso anual; asociación y agremiación; vista y defensa; acceso a listados y órdenes de mérito; condiciones adecuadas de trabajo; asistencia jurídica municipal cuando corresponda y la Municipalidad no sea parte contraria; y los demás derechos reconocidos por este Estatuto y la normativa aplicable.</w:t>
      </w:r>
    </w:p>
    <w:p w14:paraId="1C7A92B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provisional y suplente gozará de los derechos compatibles con su situación de revista. No gozará de estabilidad ni de aquellos derechos que por su naturaleza presupongan titularidad, salvo disposición expresa.</w:t>
      </w:r>
    </w:p>
    <w:p w14:paraId="255AC22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entidades gremiales con personería o inscripción gremial y representación de docentes municipales podrán intervenir en los ámbitos previstos por este Estatuto, participar como veedoras cuando corresponda y formular propuestas o consultas en materias de interés colectivo, sin perjuicio de las competencias propias de las autoridades municipales.</w:t>
      </w:r>
    </w:p>
    <w:p w14:paraId="25D840CB"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III — DE LA CATEGORÍA, UBICACIÓN Y PLANTA ORGÁNICO-FUNCIONAL</w:t>
      </w:r>
    </w:p>
    <w:p w14:paraId="743A7CA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La categoría, ubicación y Planta Orgánico-Funcional (POF) de las instituciones educativas municipales se establecerán conforme a la normativa educativa provincial aplicable, con intervención de la entidad propietaria y de la supervisión de </w:t>
      </w:r>
      <w:r w:rsidRPr="002B24F1">
        <w:rPr>
          <w:rFonts w:ascii="Arial" w:eastAsia="MS Mincho" w:hAnsi="Arial" w:cs="Times New Roman"/>
          <w:kern w:val="0"/>
          <w:sz w:val="21"/>
          <w:lang w:val="es-ES"/>
          <w14:ligatures w14:val="none"/>
        </w:rPr>
        <w:lastRenderedPageBreak/>
        <w:t>enseñanza competente de la Dirección de Educación de Gestión Privada (DIEGEP), o del organismo que en el futuro la sustituya. A tales efectos se considerarán las características de cada servicio educativo, su nivel y modalidad, matrícula, cantidad de secciones, divisiones, grupos y turnos, así como los demás criterios establecidos por la normativa provincial aplicable.</w:t>
      </w:r>
    </w:p>
    <w:p w14:paraId="02CD8C8F"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IV — DEL ESCALAFÓN</w:t>
      </w:r>
    </w:p>
    <w:p w14:paraId="2295F4B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Escalafón. </w:t>
      </w:r>
      <w:r w:rsidRPr="002B24F1">
        <w:rPr>
          <w:rFonts w:ascii="Arial" w:eastAsia="MS Mincho" w:hAnsi="Arial" w:cs="Times New Roman"/>
          <w:kern w:val="0"/>
          <w:sz w:val="21"/>
          <w:lang w:val="es-ES"/>
          <w14:ligatures w14:val="none"/>
        </w:rPr>
        <w:t>El escalafón del personal docente municipal estará integrado por los cargos docentes correspondientes a los niveles y modalidades que conformen el sistema educativo municipal, conforme a las siguientes categorías: I. Cargos de conducción: a) Director; b) Vicedirector. II. Otros cargos docentes: a) Secretario; b) Maestro; c) Profesor; d) Preceptor; e) Bibliotecario; f) cargos docentes correspondientes a los Equipos de Orientación Escolar; g) los demás cargos docentes previstos para los respectivos niveles y modalidades del sistema educativo provincial que sean incorporados a las Plantas Orgánico-Funcionales de las instituciones educativas municipales. Las denominaciones específicas de los cargos y sus equivalencias serán las establecidas para el nivel y modalidad correspondientes por la normativa educativa de la Provincia de Buenos Aires. La máxima jerarquía del escalafón docente municipal será la de Director. Quedan excluidos los cargos de Inspector, Supervisor y cualquier otro cargo o función de jerarquía superior a Director.</w:t>
      </w:r>
    </w:p>
    <w:p w14:paraId="6DDA9F45"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V — DE LA ESTABILIDAD</w:t>
      </w:r>
    </w:p>
    <w:p w14:paraId="771D1C2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titular tendrá derecho a la estabilidad en el cargo, horas cátedra o módulos una vez cumplidos doce (12) meses de desempeño, obtenida calificación superior a siete (7) puntos y acreditada la aptitud psicofísica exigible.</w:t>
      </w:r>
    </w:p>
    <w:p w14:paraId="32CD778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 xml:space="preserve">ARTÍCULO 13°.- </w:t>
      </w:r>
      <w:r w:rsidRPr="002B24F1">
        <w:rPr>
          <w:rFonts w:ascii="Arial" w:eastAsia="MS Mincho" w:hAnsi="Arial" w:cs="Times New Roman"/>
          <w:kern w:val="0"/>
          <w:sz w:val="21"/>
          <w:lang w:val="es-ES"/>
          <w14:ligatures w14:val="none"/>
        </w:rPr>
        <w:t>La estabilidad se perderá por: a) pérdida o disminución de aptitud psicofísica cuando, agotadas las posibilidades de cambio de funciones o reubicación previstas, no resulte posible la continuidad como personal docente; b) dos calificaciones inferiores a seis (6) puntos en cinco (5) años o una inferior a cuatro (4), previa investigación y dictamen del Tribunal de Disciplina; c) agotamiento del plazo máximo de disponibilidad; d) sanción expulsiva; e) reunión de las condiciones para acceder a los beneficios jubilatorios máximos, conforme al capítulo respectivo; f) las demás causales de cese expresamente previstas.</w:t>
      </w:r>
    </w:p>
    <w:p w14:paraId="0F6E756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titular sólo podrá ser trasladado sin su solicitud cuando resulte indispensable para la instrucción de un sumario, por razones técnico-administrativas debidamente fundadas o como consecuencia de una reubicación por disponibilidad. La medida no podrá encubrir sanción ni producir incompatibilidad.</w:t>
      </w:r>
    </w:p>
    <w:p w14:paraId="1B9A5BE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sólo podrá ser disminuido de jerarquía a su solicitud o como consecuencia de sanción disciplinaria firme.</w:t>
      </w:r>
    </w:p>
    <w:p w14:paraId="0BC3F626"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VI — DE LA DISPONIBILIDAD</w:t>
      </w:r>
    </w:p>
    <w:p w14:paraId="77C6CBB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El personal docente titular quedará en disponibilidad exclusivamente </w:t>
      </w:r>
      <w:r w:rsidRPr="002B24F1">
        <w:rPr>
          <w:rFonts w:ascii="Arial" w:eastAsia="MS Mincho" w:hAnsi="Arial" w:cs="Times New Roman"/>
          <w:kern w:val="0"/>
          <w:sz w:val="21"/>
          <w:lang w:val="es-ES"/>
          <w14:ligatures w14:val="none"/>
        </w:rPr>
        <w:lastRenderedPageBreak/>
        <w:t>cuando sea suprimido el cargo, horas cátedra o módulos en los que reviste o se reduzca su carga. El plazo máximo será de tres (3) años: el primero con goce íntegro de haberes y los dos siguientes sin goce. El desempeño transitorio en una reubicación interrumpirá el cómputo por un período equivalente.</w:t>
      </w:r>
    </w:p>
    <w:p w14:paraId="2083443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en disponibilidad tendrá prioridad para ser reubicado en cargo, horas o módulos compatibles con su título, incumbencia, nivel y modalidad. La reubicación no podrá implicar remuneración inferior ni generar incompatibilidad.</w:t>
      </w:r>
    </w:p>
    <w:p w14:paraId="66DCC61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negativa injustificada a una reubicación docente definitiva y adecuada podrá determinar la pérdida de estabilidad y el cese, previa intimación y posibilidad de defensa. El pase al escalafón general municipal no constituye reubicación docente y requerirá consentimiento expreso del agente.</w:t>
      </w:r>
    </w:p>
    <w:p w14:paraId="3EA992CA"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VII — DE LAS INCOMPATIBILIDADES</w:t>
      </w:r>
    </w:p>
    <w:p w14:paraId="0A712F1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régimen de incompatibilidades se regirá por la Ley Provincial N° 10.579, su reglamentación, normas complementarias, modificatorias y las que en el futuro las sustituyan, computándose la totalidad de cargos, horas cátedra y módulos desempeñados en cualquier jurisdicción y en establecimientos de gestión estatal o privada.</w:t>
      </w:r>
    </w:p>
    <w:p w14:paraId="3327774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Existirá incompatibilidad cuando haya superposición horaria o cuando la distancia y condiciones de traslado impidan el cumplimiento efectivo de los horarios. La transgresión comprobada dará lugar a responsabilidad disciplinaria.</w:t>
      </w:r>
    </w:p>
    <w:p w14:paraId="0C18431A"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VIII — DE LAS REMUNERACIONES</w:t>
      </w:r>
    </w:p>
    <w:p w14:paraId="19D3018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21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remuneración del personal docente municipal será equivalente a la establecida por la Provincia de Buenos Aires para igual cargo, función, horas cátedra o módulos y antigüedad, comprendiendo los conceptos remunerativos, bonificaciones, suplementos y adicionales provinciales que correspondan, tanto respecto de cargos subvencionados como no subvencionados.</w:t>
      </w:r>
    </w:p>
    <w:p w14:paraId="4EEE840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modificaciones salariales provinciales se aplicarán desde la misma fecha de vigencia. Cuando la información necesaria se reciba con posterioridad al cierre de la liquidación, la diferencia se abonará en la liquidación inmediata siguiente.</w:t>
      </w:r>
    </w:p>
    <w:p w14:paraId="2F4B5D7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importes percibidos indebidamente por error de liquidación podrán recuperarse mediante descuentos de hasta el veinte por ciento (20%) de la remuneración mensual, salvo que el agente solicite expresamente un porcentaje mayor o el pago total.</w:t>
      </w:r>
    </w:p>
    <w:p w14:paraId="794DEADB"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IX — DEL TRIBUNAL DE CLASIFICACIÓN</w:t>
      </w:r>
    </w:p>
    <w:p w14:paraId="3D37D61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24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Créase el Tribunal de Clasificación como organismo permanente encargado de las funciones de clasificación y carrera docente previstas en este Estatuto.</w:t>
      </w:r>
    </w:p>
    <w:p w14:paraId="221CCDA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 xml:space="preserve">ARTÍCULO 25°.- </w:t>
      </w:r>
      <w:r w:rsidRPr="002B24F1">
        <w:rPr>
          <w:rFonts w:ascii="Arial" w:eastAsia="MS Mincho" w:hAnsi="Arial" w:cs="Times New Roman"/>
          <w:kern w:val="0"/>
          <w:sz w:val="21"/>
          <w:lang w:val="es-ES"/>
          <w14:ligatures w14:val="none"/>
        </w:rPr>
        <w:t xml:space="preserve">El Tribunal estará integrado por: a) la autoridad educativa municipal o quien ésta designe, que ejercerá la Presidencia; b) un representante docente titular y un </w:t>
      </w:r>
      <w:r w:rsidRPr="002B24F1">
        <w:rPr>
          <w:rFonts w:ascii="Arial" w:eastAsia="MS Mincho" w:hAnsi="Arial" w:cs="Times New Roman"/>
          <w:kern w:val="0"/>
          <w:sz w:val="21"/>
          <w:lang w:val="es-ES"/>
          <w14:ligatures w14:val="none"/>
        </w:rPr>
        <w:lastRenderedPageBreak/>
        <w:t>suplente designados por la autoridad municipal; c) dos representantes docentes titulares y dos suplentes designados por la autoridad municipal entre docentes que reúnan los requisitos establecidos; d) un representante de cada entidad gremial con personería o inscripción gremial y representación de docentes municipales, con voz y sin voto. Los representantes docentes deberán acreditar cinco (5) años de servicios docentes municipales; quienes integren el inciso c) deberán encontrarse en actividad. Los miembros de los incisos b) y c) durarán dos (2) años y podrán ser nuevamente designados. Los suplentes reemplazarán a los titulares en caso de ausencia, impedimento o vacancia.</w:t>
      </w:r>
    </w:p>
    <w:p w14:paraId="460A5A5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representantes docentes con voto podrán percibir una remuneración mensual equivalente a tres (3) módulos semanales de Nivel Secundario y deberán dedicar una carga equivalente a tareas del Tribunal. Cuando se encuentren en actividad, podrá autorizarse licencia con goce íntegro de haberes por hasta treinta (30) días al año para la clasificación anual. El representante designado que no se encuentre en actividad percibirá la remuneración correspondiente, sin licencia.</w:t>
      </w:r>
    </w:p>
    <w:p w14:paraId="1638407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Son funciones del Tribunal: aplicar el Estatuto en las materias de su competencia; confeccionar PAD y PID; valorar títulos y antecedentes; elaborar y publicar órdenes de mérito; intervenir en movimientos, acrecentamientos, reincorporaciones, ascensos y cobertura de vacantes; verificar requisitos de concursos; custodiar la documentación de clasificación; resolver reclamos en primera instancia cuando corresponda; y ejercer las demás funciones expresamente asignadas.</w:t>
      </w:r>
    </w:p>
    <w:p w14:paraId="070E5AB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miembros deberán excusarse y podrán ser recusados cuando exista interés personal, parentesco, intervención previa sustancial u otra circunstancia objetiva que afecte su imparcialidad.</w:t>
      </w:r>
    </w:p>
    <w:p w14:paraId="4CBBFD5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29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listados, órdenes de mérito, cronogramas y actos de clasificación deberán publicarse y ponerse a disposición de los interesados, garantizando acceso a los antecedentes y operaciones que determinen el puntaje.</w:t>
      </w:r>
    </w:p>
    <w:p w14:paraId="62F3F0E3"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 — DE LA CLASIFICACIÓN DEL PERSONAL DOCENTE TITULAR</w:t>
      </w:r>
    </w:p>
    <w:p w14:paraId="436D2A5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30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Puntaje Anual Docente (PAD) será calculado anualmente por el Tribunal de Clasificación conforme al Anexo II.</w:t>
      </w:r>
    </w:p>
    <w:p w14:paraId="4DFDA7A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La valoración de títulos, </w:t>
      </w:r>
      <w:proofErr w:type="spellStart"/>
      <w:r w:rsidRPr="002B24F1">
        <w:rPr>
          <w:rFonts w:ascii="Arial" w:eastAsia="MS Mincho" w:hAnsi="Arial" w:cs="Times New Roman"/>
          <w:kern w:val="0"/>
          <w:sz w:val="21"/>
          <w:lang w:val="es-ES"/>
          <w14:ligatures w14:val="none"/>
        </w:rPr>
        <w:t>postítulos</w:t>
      </w:r>
      <w:proofErr w:type="spellEnd"/>
      <w:r w:rsidRPr="002B24F1">
        <w:rPr>
          <w:rFonts w:ascii="Arial" w:eastAsia="MS Mincho" w:hAnsi="Arial" w:cs="Times New Roman"/>
          <w:kern w:val="0"/>
          <w:sz w:val="21"/>
          <w:lang w:val="es-ES"/>
          <w14:ligatures w14:val="none"/>
        </w:rPr>
        <w:t xml:space="preserve">, certificados y cursos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xml:space="preserve"> se realizará conforme al nomenclátor provincial aplicable a la incumbencia correspondiente, con un máximo de diez (10) puntos.</w:t>
      </w:r>
    </w:p>
    <w:p w14:paraId="1715113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desempeño efectivo, titular, provisional o transitorio, en funciones jerárquicas se computará a razón de un (1) punto por cada ciclo lectivo completo como Director o Vicedirector y de cero con cincuenta (0,50) puntos por cada ciclo lectivo completo como Secretario, hasta un máximo acumulado de diez (10) puntos.</w:t>
      </w:r>
    </w:p>
    <w:p w14:paraId="1E429EF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Cuando un docente revista en más de un cargo, área, asignatura, nivel o incumbencia, será clasificado separadamente en cada caso, con los antecedentes que correspondan.</w:t>
      </w:r>
    </w:p>
    <w:p w14:paraId="7CD9026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34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PAD se notificará anualmente. El docente tendrá derecho a conocer la totalidad de los valores y operaciones utilizadas y a interponer los recursos previstos en este Estatuto.</w:t>
      </w:r>
    </w:p>
    <w:p w14:paraId="2C3D3A3A"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XI — DEL DESTINO DE LAS VACANTES</w:t>
      </w:r>
    </w:p>
    <w:p w14:paraId="43EF87A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35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Antes de todo movimiento docente, las vacantes serán ofrecidas al personal en disponibilidad que reúna los requisitos para la reubicación.</w:t>
      </w:r>
    </w:p>
    <w:p w14:paraId="57330D0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vacantes de cargos de base, horas cátedra y módulos se afectarán en un sesenta por ciento (60%) a movimientos docentes y en un cuarenta por ciento (40%) a acrecentamiento, cuando éste resulte aplicable. Dentro de los movimientos se observarán las prioridades de razones familiares o de salud, concentración de tareas y demás movimientos previstos; luego se considerarán reincorporaciones e ingreso.</w:t>
      </w:r>
    </w:p>
    <w:p w14:paraId="5C884BD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vacantes jerárquicas de Director, Vicedirector y Secretario se cubrirán, según corresponda, por movimiento al mismo cargo y nivel, descenso voluntario de jerarquía o ascenso de quienes integren el orden de mérito vigente del concurso respectivo.</w:t>
      </w:r>
    </w:p>
    <w:p w14:paraId="73D35A90"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XII — DEL INGRESO A LA DOCENCIA</w:t>
      </w:r>
    </w:p>
    <w:p w14:paraId="0E463B2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38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Para ingresar a la docencia municipal el aspirante deberá poseer título habilitante conforme al nomenclátor provincial para el cargo, área o asignatura; reunir aptitud psicofísica cuando corresponda; cumplir las condiciones legales de acceso al empleo público y los demás requisitos expresamente previstos.</w:t>
      </w:r>
    </w:p>
    <w:p w14:paraId="37571B5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39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edad máxima para el ingreso titular será de cuarenta y cinco (45) años, con las excepciones por servicios docentes recientes previstas en el régimen provincial aplicable.</w:t>
      </w:r>
    </w:p>
    <w:p w14:paraId="23C15F0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ingreso a cargos de base, horas cátedra y módulos se efectuará por concurso de títulos y antecedentes conforme al Puntaje de Ingreso a la Docencia (PID) establecido en el Anexo III.</w:t>
      </w:r>
    </w:p>
    <w:p w14:paraId="4C66873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primera instancia de ingreso titular será reservada a docentes municipales. Si resultare desierta, se realizará una nueva convocatoria abierta a la comunidad.</w:t>
      </w:r>
    </w:p>
    <w:p w14:paraId="145F6C9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inscripción será anual y deberá contemplar período de exhibición, notificación, reclamo y recursos. La clasificación se realizará separadamente por cargo, área, asignatura e incumbencia.</w:t>
      </w:r>
    </w:p>
    <w:p w14:paraId="2BD54AC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El PID se integrará con los componentes establecidos en el Anexo III. No se computará </w:t>
      </w:r>
      <w:proofErr w:type="spellStart"/>
      <w:r w:rsidRPr="002B24F1">
        <w:rPr>
          <w:rFonts w:ascii="Arial" w:eastAsia="MS Mincho" w:hAnsi="Arial" w:cs="Times New Roman"/>
          <w:kern w:val="0"/>
          <w:sz w:val="21"/>
          <w:lang w:val="es-ES"/>
          <w14:ligatures w14:val="none"/>
        </w:rPr>
        <w:t>desfavorabilidad</w:t>
      </w:r>
      <w:proofErr w:type="spellEnd"/>
      <w:r w:rsidRPr="002B24F1">
        <w:rPr>
          <w:rFonts w:ascii="Arial" w:eastAsia="MS Mincho" w:hAnsi="Arial" w:cs="Times New Roman"/>
          <w:kern w:val="0"/>
          <w:sz w:val="21"/>
          <w:lang w:val="es-ES"/>
          <w14:ligatures w14:val="none"/>
        </w:rPr>
        <w:t>. Se reconocerán cinco (5) puntos por residencia en el Partido de Chascomús acreditada durante al menos un (1) año anterior al cierre de inscripción.</w:t>
      </w:r>
    </w:p>
    <w:p w14:paraId="30A3569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designaciones titulares respetarán estrictamente el orden de mérito. La toma de posesión se efectuará el primer día del ciclo lectivo correspondiente al nivel o modalidad según el calendario educativo vigente.</w:t>
      </w:r>
    </w:p>
    <w:p w14:paraId="053CC615"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lastRenderedPageBreak/>
        <w:t>CAPÍTULO XIII — DE LOS NOMBRAMIENTOS Y SITUACIONES DE REVISTA</w:t>
      </w:r>
    </w:p>
    <w:p w14:paraId="0787B91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45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revistará como titular, provisional o suplente. La situación estatutaria municipal es independiente de la categoría, código o modalidad de registración utilizada por DIEGEP a efectos administrativos o de subvención.</w:t>
      </w:r>
    </w:p>
    <w:p w14:paraId="7CD4A0A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Es titular quien accede a una vacante mediante el procedimiento estatutario que otorga titularidad. La estabilidad se adquiere conforme al Capítulo V.</w:t>
      </w:r>
    </w:p>
    <w:p w14:paraId="0424768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Es provisional quien ocupa un cargo, horas cátedra o módulos vacantes sin cobertura titular. La provisionalidad no genera titularidad ni prioridad y cesará al finalizar el ciclo lectivo o antes, cuando se produzca la cobertura titular.</w:t>
      </w:r>
    </w:p>
    <w:p w14:paraId="05E3A15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Es suplente quien reemplaza transitoriamente a un titular o provisional ausente. Si durante la suplencia se produjera la vacancia definitiva del cargo, horas o módulos, el suplente pasará automáticamente a situación provisional, sin nueva designación, siempre que mantenga los requisitos de acceso.</w:t>
      </w:r>
    </w:p>
    <w:p w14:paraId="08B2267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49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designaciones provisionales y suplentes se efectuarán, en orden estricto, con el listado anual de ingreso, el listado complementario y el listado de emergencia.</w:t>
      </w:r>
    </w:p>
    <w:p w14:paraId="357B114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listado complementario se integrará con aspirantes con título habilitante que acrediten los requisitos luego del cierre de la inscripción ordinaria y antes del siguiente ciclo lectivo, aplicándose los mismos criterios de valoración del PID.</w:t>
      </w:r>
    </w:p>
    <w:p w14:paraId="4D52AD6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listado de emergencia se utilizará únicamente agotados los listados de aspirantes con título habilitante y podrá incluir estudiantes avanzados u otros aspirantes que reúnan los requisitos mínimos que establezca la normativa provincial. Sólo habilitará designaciones provisionales o suplentes.</w:t>
      </w:r>
    </w:p>
    <w:p w14:paraId="77D335B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actos públicos de designación se realizarán los días hábiles en que existan vacantes o suplencias a cubrir, de manera presencial o digital, garantizando publicidad, igualdad, respeto del orden de mérito, identificación de los participantes y registro de lo actuado.</w:t>
      </w:r>
    </w:p>
    <w:p w14:paraId="7CC16E0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Toda designación deberá identificar como mínimo al agente, cargo, área o asignatura, establecimiento, situación de revista, fecha de toma de posesión y listado de origen. Cuando la registración ante DIEGEP difiera de la situación estatutaria municipal, deberán constar ambas.</w:t>
      </w:r>
    </w:p>
    <w:p w14:paraId="23A6B86B"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XIV — DE LOS ACRECENTAMIENTOS</w:t>
      </w:r>
    </w:p>
    <w:p w14:paraId="4DFDAB6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 xml:space="preserve">ARTÍCULO 54°.- </w:t>
      </w:r>
      <w:r w:rsidRPr="002B24F1">
        <w:rPr>
          <w:rFonts w:ascii="Arial" w:eastAsia="MS Mincho" w:hAnsi="Arial" w:cs="Times New Roman"/>
          <w:kern w:val="0"/>
          <w:sz w:val="21"/>
          <w:lang w:val="es-ES"/>
          <w14:ligatures w14:val="none"/>
        </w:rPr>
        <w:t>El docente titular en horas cátedra o módulos podrá solicitar acrecentamiento en su incumbencia durante el período fijado por el Tribunal si: se encuentra en servicio activo; posee al menos dos (2) años de antigüedad municipal como titular en horas o módulos; han transcurrido dos (2) movimientos desde su posesión o último acrecentamiento; obtuvo calificación no inferior a seis (6) en cada uno de los dos últimos ciclos calificados; reúne título habilitante; y no incurre en incompatibilidad.</w:t>
      </w:r>
    </w:p>
    <w:p w14:paraId="17A6442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orden de acrecentamiento se determinará por mérito de clasificación, incumbencia de título y solicitud formulada.</w:t>
      </w:r>
    </w:p>
    <w:p w14:paraId="60922213"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56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vacantes destinadas a acrecentamiento se distribuirán: sesenta por ciento (60%) para quienes posean menos de doce (12) horas o equivalente; veinte por ciento (20%) para quienes posean desde doce (12) y menos de dieciocho (18); y veinte por ciento (20%) para quienes posean dieciocho (18) o más. Los remanentes se redistribuirán entre las categorías con demanda.</w:t>
      </w:r>
    </w:p>
    <w:p w14:paraId="613227C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otorgará el acrecentamiento según las vacantes disponibles, porcentajes y orden de mérito. La cantidad de horas, módulos y equivalencias se determinará conforme a la normativa educativa provincial aplicable.</w:t>
      </w:r>
    </w:p>
    <w:p w14:paraId="5C2D580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58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Quien renuncie a un acrecentamiento solicitado y otorgado no podrá solicitar otro durante los dos (2) movimientos siguientes.</w:t>
      </w:r>
    </w:p>
    <w:p w14:paraId="52962695"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XV — DE LOS ASCENSOS</w:t>
      </w:r>
    </w:p>
    <w:p w14:paraId="6553048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59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cobertura con carácter titular de las funciones jerárquicas se realizará mediante concurso de títulos, antecedentes y oposición. Se realizarán concursos diferenciados para: a) Equipo Directivo, comprensivo de Director y Vicedirector; b) Secretaría, para Secretario.</w:t>
      </w:r>
    </w:p>
    <w:p w14:paraId="3CE0DC0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Podrán concursar quienes sean titulares municipales, posean título habilitante para el nivel o modalidad, revistan en situación activa, hayan obtenido calificación mínima de ocho (8) en cada uno de los dos últimos ciclos calificados, acrediten aptitud psicofísica y no se encuentren alcanzados por inhabilitación disciplinaria para ascenso.</w:t>
      </w:r>
    </w:p>
    <w:p w14:paraId="1965A22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concursos serán públicos y organizados por la autoridad educativa municipal con intervención del Tribunal de Clasificación. La convocatoria indicará vacantes, requisitos, inscripción, temario, bibliografía, antecedentes computables, cronograma de oposición y composición del Jurado.</w:t>
      </w:r>
    </w:p>
    <w:p w14:paraId="6B099E8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concurso para Equipo Directivo comprenderá: valoración de títulos y antecedentes; prueba escrita; informe escrito sobre una situación vinculada con la función directiva; y coloquio.</w:t>
      </w:r>
    </w:p>
    <w:p w14:paraId="6B14B43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concurso para Secretario comprenderá: valoración de títulos y antecedentes; prueba escrita; y coloquio.</w:t>
      </w:r>
    </w:p>
    <w:p w14:paraId="14532503"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Cada instancia obligatoria de oposición deberá ser aprobada. El puntaje final mínimo será de siete (7) puntos. La ausencia injustificada a una instancia determinará la exclusión. La existencia de un solo aspirante no lo eximirá de rendir.</w:t>
      </w:r>
    </w:p>
    <w:p w14:paraId="54BF950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confeccionará el orden de mérito final conforme al Anexo IV. Las vacantes se cubrirán en estricto orden.</w:t>
      </w:r>
    </w:p>
    <w:p w14:paraId="54C4ABB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orden de mérito permanecerá vigente hasta que sea sustituido por un nuevo orden de mérito firme.</w:t>
      </w:r>
    </w:p>
    <w:p w14:paraId="17FD8A7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Ante vacante definitiva de Director, se ofrecerá en primer término al Vicedirector titular de la misma institución. Si acepta, la vacante resultante de Vicedirector se cubrirá con el orden de mérito vigente de Equipo Directivo. Si no existiera Vicedirector titular o éste </w:t>
      </w:r>
      <w:proofErr w:type="gramStart"/>
      <w:r w:rsidRPr="002B24F1">
        <w:rPr>
          <w:rFonts w:ascii="Arial" w:eastAsia="MS Mincho" w:hAnsi="Arial" w:cs="Times New Roman"/>
          <w:kern w:val="0"/>
          <w:sz w:val="21"/>
          <w:lang w:val="es-ES"/>
          <w14:ligatures w14:val="none"/>
        </w:rPr>
        <w:t>declinara</w:t>
      </w:r>
      <w:proofErr w:type="gramEnd"/>
      <w:r w:rsidRPr="002B24F1">
        <w:rPr>
          <w:rFonts w:ascii="Arial" w:eastAsia="MS Mincho" w:hAnsi="Arial" w:cs="Times New Roman"/>
          <w:kern w:val="0"/>
          <w:sz w:val="21"/>
          <w:lang w:val="es-ES"/>
          <w14:ligatures w14:val="none"/>
        </w:rPr>
        <w:t>, la vacante de Director se cubrirá por dicho orden.</w:t>
      </w:r>
    </w:p>
    <w:p w14:paraId="74B4D28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68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Jurado estará integrado por tres miembros con voz y voto: a) un representante de la entidad propietaria, designado por la Municipalidad; b) un docente que se desempeñe como titular en el cargo o función objeto del concurso, aunque pertenezca a otro nivel o modalidad; c) un integrante de Equipo de Orientación Escolar. Podrá invitarse como veedores, con voz y sin voto, al Inspector de DIEGEP y a un representante de cada entidad gremial con representación de docentes municipales.</w:t>
      </w:r>
    </w:p>
    <w:p w14:paraId="57FDC88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69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miembros del Jurado deberán excusarse y podrán ser recusados por interés personal, parentesco, intervención previa sustancial o cualquier circunstancia objetiva que afecte su imparcialidad.</w:t>
      </w:r>
    </w:p>
    <w:p w14:paraId="3E02DF8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valoración de títulos y antecedentes, las ponderaciones de las instancias de oposición, la fórmula de puntaje final y los criterios de desempate se regirán por el Anexo IV.</w:t>
      </w:r>
    </w:p>
    <w:p w14:paraId="0F45000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funciones jerárquicas transitorias se asignarán por vacancia o ausencia. Tendrán carácter provisional cuando exista vacante y suplente cuando reemplacen a un titular ausente; no generarán estabilidad ni titularidad jerárquica.</w:t>
      </w:r>
    </w:p>
    <w:p w14:paraId="651ECDC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Cuando exista orden de mérito vigente del concurso correspondiente, la cobertura transitoria se ofrecerá respetando estrictamente dicho orden. Si no existiera, se ofrecerá a docentes titulares por orden decreciente de PAD, siempre que reúnan los requisitos del cargo. Toda aceptación o rechazo se documentará.</w:t>
      </w:r>
    </w:p>
    <w:p w14:paraId="69CA39B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desempeño jerárquico transitorio no modifica la titularidad de origen, a la que el docente tendrá derecho a retornar, y será registrado como antecedente para el PAD.</w:t>
      </w:r>
    </w:p>
    <w:p w14:paraId="0E141DA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función jerárquica transitoria cesará por reintegro del titular, cobertura titular, renuncia, pérdida de requisitos, sanción u otra causal prevista. Si una suplencia jerárquica se transformara en vacante definitiva, pasará a provisional hasta la cobertura estatutaria.</w:t>
      </w:r>
    </w:p>
    <w:p w14:paraId="34C38902"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XVI — DE LOS MOVIMIENTOS DOCENTES</w:t>
      </w:r>
    </w:p>
    <w:p w14:paraId="4C6BE1A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75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movimiento docente es el cambio voluntario y definitivo de destino del personal titular, dentro de la misma institución o hacia otra institución municipal, pudiendo comprender traslado, concentración de tareas, cambio de cargo o descenso voluntario de jerarquía. Podrá efectuarse entre niveles o modalidades cuando el docente posea título e incumbencia habilitantes.</w:t>
      </w:r>
    </w:p>
    <w:p w14:paraId="61BD7C6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Para solicitar movimiento se requerirá: titularidad en el destino de origen; situación activa; título e incumbencia para el destino solicitado; inexistencia de incompatibilidad; y que hayan transcurrido dos (2) movimientos desde la toma de posesión titular o desde el último movimiento. Este último requisito podrá exceptuarse por razones de salud o familiares debidamente acreditadas.</w:t>
      </w:r>
    </w:p>
    <w:p w14:paraId="3D5AF52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fijará anualmente el período de solicitud. Podrán solicitarse cargos, horas o módulos vacantes en la misma u otra institución. Las solicitudes se ordenarán según las prioridades establecidas para el destino de vacantes.</w:t>
      </w:r>
    </w:p>
    <w:p w14:paraId="657BC2A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78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Dentro de cada prioridad, la adjudicación se realizará por PAD decreciente correspondiente al destino solicitado.</w:t>
      </w:r>
    </w:p>
    <w:p w14:paraId="57E7EA5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79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Adjudicado el movimiento, el docente cesará en su destino de origen y asumirá como titular en el nuevo destino en la fecha establecida por el calendario. La diferencia de carga horaria no alterará la naturaleza del movimiento.</w:t>
      </w:r>
    </w:p>
    <w:p w14:paraId="77170697"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XVII — DE LAS PERMUTAS</w:t>
      </w:r>
    </w:p>
    <w:p w14:paraId="4964C50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80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permuta es el intercambio recíproco, voluntario y definitivo de destinos titulares entre dos docentes.</w:t>
      </w:r>
    </w:p>
    <w:p w14:paraId="39E7158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Ambos docentes deberán encontrarse en situación activa, reunir título e incumbencia para el destino que recibirán y no generar incompatibilidad. Podrán permutarse destinos de distinto nivel, modalidad o carga cuando ambos docentes reúnan los requisitos y presten consentimiento.</w:t>
      </w:r>
    </w:p>
    <w:p w14:paraId="7131A52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solicitud será conjunta y resuelta por el Tribunal de Clasificación. La permuta se hará efectiva simultáneamente y ambos docentes conservarán su titularidad.</w:t>
      </w:r>
    </w:p>
    <w:p w14:paraId="189A6D9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Hasta su </w:t>
      </w:r>
      <w:proofErr w:type="spellStart"/>
      <w:r w:rsidRPr="002B24F1">
        <w:rPr>
          <w:rFonts w:ascii="Arial" w:eastAsia="MS Mincho" w:hAnsi="Arial" w:cs="Times New Roman"/>
          <w:kern w:val="0"/>
          <w:sz w:val="21"/>
          <w:lang w:val="es-ES"/>
          <w14:ligatures w14:val="none"/>
        </w:rPr>
        <w:t>efectivización</w:t>
      </w:r>
      <w:proofErr w:type="spellEnd"/>
      <w:r w:rsidRPr="002B24F1">
        <w:rPr>
          <w:rFonts w:ascii="Arial" w:eastAsia="MS Mincho" w:hAnsi="Arial" w:cs="Times New Roman"/>
          <w:kern w:val="0"/>
          <w:sz w:val="21"/>
          <w:lang w:val="es-ES"/>
          <w14:ligatures w14:val="none"/>
        </w:rPr>
        <w:t xml:space="preserve"> cualquiera de los interesados podrá desistir. Una vez efectivizada será definitiva. La renuncia, jubilación o cese posterior de uno de los permutantes no dejará sin efecto la situación del otro; la vacante resultante se cubrirá por los procedimientos ordinarios.</w:t>
      </w:r>
    </w:p>
    <w:p w14:paraId="776BF7C6"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XVIII — DE LAS REINCORPORACIONES</w:t>
      </w:r>
    </w:p>
    <w:p w14:paraId="040D5BA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 xml:space="preserve">ARTÍCULO 84°.- </w:t>
      </w:r>
      <w:r w:rsidRPr="002B24F1">
        <w:rPr>
          <w:rFonts w:ascii="Arial" w:eastAsia="MS Mincho" w:hAnsi="Arial" w:cs="Times New Roman"/>
          <w:kern w:val="0"/>
          <w:sz w:val="21"/>
          <w:lang w:val="es-ES"/>
          <w14:ligatures w14:val="none"/>
        </w:rPr>
        <w:t>El docente que hubiera cesado siendo titular podrá solicitar reincorporación en cargo, horas o módulos vacantes de igual naturaleza cuando: hubiera revistado como titular al menos dos (2) años; reuniera cinco (5) años de antigüedad docente municipal al cese; registrara promedio de calificación no inferior a ocho (8); acreditara aptitud psicofísica; no se encontrara en condiciones de obtener jubilación ordinaria; no estuviera alcanzado por incompatibilidad o inhabilidad; y, si hubiera cesado por sanción expulsiva, hubiera obtenido rehabilitación.</w:t>
      </w:r>
    </w:p>
    <w:p w14:paraId="0F8288F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reincorporado no podrá solicitar ascenso, movimiento, acrecentamiento o permuta hasta transcurridos dos (2) años desde su reincorporación.</w:t>
      </w:r>
    </w:p>
    <w:p w14:paraId="1DCD170B"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XIX — DE LAS LICENCIAS</w:t>
      </w:r>
    </w:p>
    <w:p w14:paraId="5FF9B40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86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municipal tendrá derecho a las licencias previstas para el personal docente de la Provincia de Buenos Aires por la Ley N° 10.579, su reglamentación, normas complementarias, modificatorias y las que en el futuro las sustituyan. Las causales, requisitos, duración, documentación, condiciones de otorgamiento, régimen de haberes y demás efectos se regirán por dicha normativa, de acuerdo con la situación de revista. Las referencias a autoridades provinciales se entenderán efectuadas a las autoridades municipales competentes, según corresponda.</w:t>
      </w:r>
    </w:p>
    <w:p w14:paraId="097C186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87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en uso de licencia por enfermedad o accidente de trabajo no podrá desempeñar simultáneamente actividades laborales incompatibles con la causa que motivó la licencia. Comprobada la incompatibilidad, podrá disponerse el cese de la licencia, sin perjuicio de la responsabilidad disciplinaria que corresponda.</w:t>
      </w:r>
    </w:p>
    <w:p w14:paraId="78C11988"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 — DE LA CALIFICACIÓN</w:t>
      </w:r>
    </w:p>
    <w:p w14:paraId="22FD68C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88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Por cada docente titular, provisional o suplente se mantendrá un legajo de actuación profesional con las constancias relevantes de su desempeño. El interesado tendrá derecho a conocerlo, obtener copia, formular observaciones, impugnar constancias y solicitar la rectificación de errores u omisiones.</w:t>
      </w:r>
    </w:p>
    <w:p w14:paraId="6EA8486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89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titular, provisional y suplente será calificado anualmente sobre constancias objetivas y mediante resolución fundada y notificada. Escala: Sobresaliente 9,51 a 10; Distinguido 8 a 9,50; Bueno 6 a 7,99; Regular 4 a 5,99; Malo 0 a 3,99. Contra la calificación procederán los recursos generales de este Estatuto.</w:t>
      </w:r>
    </w:p>
    <w:p w14:paraId="48EF135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No corresponderá calificación cuando el desempeño efectivo haya sido inferior a treinta (30) días. Para el titular ingresante, la evaluación destinada a la confirmación de estabilidad se regirá por el período del Capítulo V. La existencia de investigación o sumario pendiente no impedirá por sí sola la calificación.</w:t>
      </w:r>
    </w:p>
    <w:p w14:paraId="16C54B1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agente calificador deberá inhibirse cuando intervenga en una investigación o sumario directamente relacionado con el calificado, exista relación personal que objetivamente afecte la imparcialidad, se haya desempeñado menos de treinta (30) días en la función calificadora, exista enemistad manifiesta u otra causa objetiva de parcialidad. Será reemplazado por quien corresponda según la línea jerárquica.</w:t>
      </w:r>
    </w:p>
    <w:p w14:paraId="29DDA4F1"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XXI — DE LA DISCIPLINA</w:t>
      </w:r>
    </w:p>
    <w:p w14:paraId="370D7C4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92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sólo podrá ser sancionado por causa prevista en este Estatuto, mediante decisión de autoridad competente, fundada y dictada con respeto del derecho de defensa y del debido procedimiento, sin perjuicio de las responsabilidades civiles o penales que pudieran corresponder.</w:t>
      </w:r>
    </w:p>
    <w:p w14:paraId="1B64A72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sanciones serán: I. Por faltas leves: a) observación escrita; b) apercibimiento; c) suspensión de hasta cinco (5) días sin goce de haberes. II. Por faltas graves: a) suspensión de seis (6) a noventa (90) días; b) postergación para ascenso o acrecentamiento por el término que establezca la resolución; c) descenso de jerarquía; d) cesantía; e) exoneración.</w:t>
      </w:r>
    </w:p>
    <w:p w14:paraId="7F6C447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sanción se graduará atendiendo a la naturaleza y gravedad de la conducta, consecuencias, antecedentes disciplinarios, reiteración, jerarquía y responsabilidad funcional y circunstancias atenuantes o agravantes.</w:t>
      </w:r>
    </w:p>
    <w:p w14:paraId="778BCB9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Constituyen faltas leves los incumplimientos funcionales que, por su naturaleza y consecuencias, no configuren falta grave, incluyendo incumplimientos reiterados de horario, inasistencias injustificadas que no constituyan abandono y faltas de respeto o incumplimientos funcionales de menor entidad.</w:t>
      </w:r>
    </w:p>
    <w:p w14:paraId="490E66F3"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 xml:space="preserve">ARTÍCULO 96°.- </w:t>
      </w:r>
      <w:r w:rsidRPr="002B24F1">
        <w:rPr>
          <w:rFonts w:ascii="Arial" w:eastAsia="MS Mincho" w:hAnsi="Arial" w:cs="Times New Roman"/>
          <w:kern w:val="0"/>
          <w:sz w:val="21"/>
          <w:lang w:val="es-ES"/>
          <w14:ligatures w14:val="none"/>
        </w:rPr>
        <w:t xml:space="preserve">Constituyen faltas graves: abandono de servicio; incumplimientos graves o reiterados de deberes; incumplimiento intencional de órdenes legítimas; falsedad </w:t>
      </w:r>
      <w:proofErr w:type="spellStart"/>
      <w:r w:rsidRPr="002B24F1">
        <w:rPr>
          <w:rFonts w:ascii="Arial" w:eastAsia="MS Mincho" w:hAnsi="Arial" w:cs="Times New Roman"/>
          <w:kern w:val="0"/>
          <w:sz w:val="21"/>
          <w:lang w:val="es-ES"/>
          <w14:ligatures w14:val="none"/>
        </w:rPr>
        <w:t>o</w:t>
      </w:r>
      <w:proofErr w:type="spellEnd"/>
      <w:r w:rsidRPr="002B24F1">
        <w:rPr>
          <w:rFonts w:ascii="Arial" w:eastAsia="MS Mincho" w:hAnsi="Arial" w:cs="Times New Roman"/>
          <w:kern w:val="0"/>
          <w:sz w:val="21"/>
          <w:lang w:val="es-ES"/>
          <w14:ligatures w14:val="none"/>
        </w:rPr>
        <w:t xml:space="preserve"> ocultamiento intencional de información o documentación para obtener beneficio indebido o causar perjuicio; vulneración de derechos de niñas, niños o adolescentes vinculada a la función; violencia, acoso, discriminación o grave falta de respeto; utilización de la función para obtener beneficios indebidos; reiteración de faltas leves que revele incumplimiento grave; y otras conductas que por su entidad, consecuencias y afectación concreta del servicio constituyan incumplimiento sustancial de los deberes estatutarios.</w:t>
      </w:r>
    </w:p>
    <w:p w14:paraId="4890654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agente que incurra en tres (3) inasistencias consecutivas sin aviso ni justificación será intimado fehacientemente para reintegrarse o justificar su ausencia dentro de cuarenta y ocho (48) horas. Vencido el plazo sin cumplimiento, podrá disponerse el cese por abandono mediante acto fundado y previa oportunidad de defensa.</w:t>
      </w:r>
    </w:p>
    <w:p w14:paraId="668AF97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sanciones por faltas graves sólo podrán aplicarse previa sustanciación de sumario y dictamen del Tribunal de Disciplina. El imputado tendrá derecho a conocer los cargos, acceder a las actuaciones, efectuar descargo, ofrecer y controlar prueba, contar con asistencia o representación y obtener decisión fundada. Para faltas leves deberá garantizarse, como mínimo, conocimiento de los hechos y oportunidad de defensa.</w:t>
      </w:r>
    </w:p>
    <w:p w14:paraId="7C91106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99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facultad disciplinaria se extinguirá por fallecimiento; desvinculación definitiva cuando la sanción no pueda modificar la causal del cese; o prescripción. Las faltas leves prescribirán al año y las graves a los tres (3) años, sin perjuicio del plazo penal mayor cuando el hecho constituya delito. Los plazos se computarán desde la comisión del hecho y se sujetarán a las causales legales de suspensión e interrupción.</w:t>
      </w:r>
    </w:p>
    <w:p w14:paraId="64307A1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prescripción disciplinaria no extingue las acciones que correspondan por daños ocasionados al patrimonio municipal.</w:t>
      </w:r>
    </w:p>
    <w:p w14:paraId="32C8C9A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renuncia presentada durante un sumario podrá ser considerada, pero su aceptación no impedirá la continuación de las actuaciones cuando la eventual sanción pudiera modificar la causal de cese.</w:t>
      </w:r>
    </w:p>
    <w:p w14:paraId="5BECEAD3"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XXII — DEL TRIBUNAL DE DISCIPLINA</w:t>
      </w:r>
    </w:p>
    <w:p w14:paraId="2AF994B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102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de Disciplina intervendrá en las faltas graves y en los procedimientos de revisión, emitiendo dictamen previo a la decisión de la autoridad competente.</w:t>
      </w:r>
    </w:p>
    <w:p w14:paraId="43CB182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estará integrado por: a) un representante de la Municipalidad de Chascomús designado por el Departamento Ejecutivo, quien ejercerá la Presidencia; b) dos docentes titulares municipales designados por el Tribunal de Clasificación de una nómina de docentes que reúnan los requisitos; y c) el Asesor Letrado de la Municipalidad de Chascomús, o funcionario letrado que legalmente lo sustituya. Los docentes deberán acreditar cinco (5) años de docencia municipal, encontrarse en situación activa y no estar alcanzados por causal de excusación o recusación. Todos tendrán voz y voto. Las decisiones se adoptarán por mayoría; en caso de empate, la Presidencia tendrá doble voto. Las entidades gremiales con representación de docentes municipales podrán designar veedor con voz y sin voto.</w:t>
      </w:r>
    </w:p>
    <w:p w14:paraId="616B858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104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Son causales de excusación y recusación el interés personal, parentesco, intervención previa sustancial en la investigación o decisión del mismo caso y cualquier circunstancia objetiva que afecte la imparcialidad. El representante municipal no podrá haber instruido o decidido sustancialmente las actuaciones sometidas al Tribunal.</w:t>
      </w:r>
    </w:p>
    <w:p w14:paraId="74EEB70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 xml:space="preserve">ARTÍCULO 105°.- </w:t>
      </w:r>
      <w:r w:rsidRPr="002B24F1">
        <w:rPr>
          <w:rFonts w:ascii="Arial" w:eastAsia="MS Mincho" w:hAnsi="Arial" w:cs="Times New Roman"/>
          <w:kern w:val="0"/>
          <w:sz w:val="21"/>
          <w:lang w:val="es-ES"/>
          <w14:ligatures w14:val="none"/>
        </w:rPr>
        <w:t>Son funciones del Tribunal: estudiar los sumarios; verificar el respeto del debido proceso; requerir fundadamente ampliaciones o prueba esencial; valorar hechos, prueba y antecedentes; determinar la existencia o inexistencia de responsabilidad disciplinaria; dictaminar sobre la sanción; intervenir en revisiones; y verificar la adecuación de las actuaciones y de la solución propuesta al presente Estatuto, a la normativa educativa provincial aplicable, al régimen jurídico propio de la Municipalidad de Chascomús y a las demás normas aplicables.</w:t>
      </w:r>
    </w:p>
    <w:p w14:paraId="04F074B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dictamen será fundado, se adoptará por mayoría y deberá expresar hechos, prueba, responsabilidad y sanción propuesta. Las disidencias se fundarán. El Tribunal deberá expedirse dentro de treinta (30) días hábiles desde la recepción del expediente completo, salvo medidas pendientes o causa debidamente fundada.</w:t>
      </w:r>
    </w:p>
    <w:p w14:paraId="17BA5CF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autoridad municipal competente dictará resolución fundada. Si se apartara del dictamen del Tribunal deberá expresar específicamente las razones. La cesantía y la exoneración serán dispuestas por acto del Departamento Ejecutivo.</w:t>
      </w:r>
    </w:p>
    <w:p w14:paraId="638DF47B"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XXIII — DE LOS RECURSOS</w:t>
      </w:r>
    </w:p>
    <w:p w14:paraId="57E8F0B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108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Toda decisión definitiva o interlocutoria que lesione un derecho o interés legítimo del docente, importe transgresión de este Estatuto u otra norma aplicable, o adolezca de vicios que afecten su validez, podrá ser impugnada. Las medidas preparatorias, informes y dictámenes que no produzcan efectos jurídicos directos no serán recurribles por separado.</w:t>
      </w:r>
    </w:p>
    <w:p w14:paraId="1E679B1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109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recurso de revocatoria se interpondrá ante la autoridad u órgano que dictó el acto, a fin de que lo revoque, modifique o sustituya. Podrá fundarse en razones de legitimidad, procedimiento, hechos, prueba o aplicación normativa.</w:t>
      </w:r>
    </w:p>
    <w:p w14:paraId="07B659F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La revocatoria llevará implícito el recurso jerárquico en subsidio. </w:t>
      </w:r>
      <w:proofErr w:type="gramStart"/>
      <w:r w:rsidRPr="002B24F1">
        <w:rPr>
          <w:rFonts w:ascii="Arial" w:eastAsia="MS Mincho" w:hAnsi="Arial" w:cs="Times New Roman"/>
          <w:kern w:val="0"/>
          <w:sz w:val="21"/>
          <w:lang w:val="es-ES"/>
          <w14:ligatures w14:val="none"/>
        </w:rPr>
        <w:t>Rechazada total</w:t>
      </w:r>
      <w:proofErr w:type="gramEnd"/>
      <w:r w:rsidRPr="002B24F1">
        <w:rPr>
          <w:rFonts w:ascii="Arial" w:eastAsia="MS Mincho" w:hAnsi="Arial" w:cs="Times New Roman"/>
          <w:kern w:val="0"/>
          <w:sz w:val="21"/>
          <w:lang w:val="es-ES"/>
          <w14:ligatures w14:val="none"/>
        </w:rPr>
        <w:t xml:space="preserve"> o parcialmente, las actuaciones se elevarán a la autoridad superior competente cuando corresponda. Si el acto emanara de la máxima autoridad administrativa, se estará a las vías legalmente procedentes.</w:t>
      </w:r>
    </w:p>
    <w:p w14:paraId="79A6159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recursos se interpondrán dentro de diez (10) días hábiles contados desde el día hábil siguiente a la notificación, salvo plazo especial expreso.</w:t>
      </w:r>
    </w:p>
    <w:p w14:paraId="73966EC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o representante tendrá derecho a tomar vista y obtener copia de las actuaciones, salvo restricciones legalmente procedentes durante actuaciones preliminares cuya reserva resulte indispensable. Solicitada vista dentro del plazo recursivo, éste se suspenderá hasta el día hábil siguiente a la efectiva concesión.</w:t>
      </w:r>
    </w:p>
    <w:p w14:paraId="6D23F7E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recursos se presentarán por escrito y deberán expresar sus fundamentos. La Administración dará trámite al recurso procedente cualquiera sea la denominación empleada cuando resulte inequívoca la voluntad de impugnar. Podrá ofrecerse prueba pertinente.</w:t>
      </w:r>
    </w:p>
    <w:p w14:paraId="17E9E9E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lastRenderedPageBreak/>
        <w:t>ARTÍCULO 114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resolución de los recursos será fundada, se pronunciará sobre las cuestiones relevantes y será notificada con indicación de las vías de impugnación y plazos que correspondan.</w:t>
      </w:r>
    </w:p>
    <w:p w14:paraId="03C00BE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sancionado por falta grave podrá solicitar, por una sola vez y dentro de dos (2) años de quedar firme la sanción, la revisión cuando aporte hechos o prueba nuevos capaces de modificar sustancialmente la decisión. Intervendrá previamente el Tribunal de Disciplina. No procederá por mera reiteración de argumentos.</w:t>
      </w:r>
    </w:p>
    <w:p w14:paraId="7996735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plazos de este capítulo se computarán en días hábiles administrativos desde el día hábil siguiente a la notificación o hecho que determine su inicio.</w:t>
      </w:r>
    </w:p>
    <w:p w14:paraId="1BD3AE32"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XXIV — DE LAS CONTRATACIONES PARA ACTIVIDADES EDUCATIVAS ESPECIALES</w:t>
      </w:r>
    </w:p>
    <w:p w14:paraId="22CE62B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117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Municipalidad podrá efectuar contrataciones para programas, proyectos, actividades o servicios educativos extraordinarios, temporarios o especializados cuya naturaleza no corresponda a cargos, horas o módulos de las POF. La contratación no otorgará por sí condición de personal docente estatutario, estabilidad, titularidad, antigüedad docente ni incorporación a listados.</w:t>
      </w:r>
    </w:p>
    <w:p w14:paraId="62AD18C9"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No podrá utilizarse este régimen para cubrir POF, sustituir designaciones titulares, provisionales o suplentes, atender necesidades permanentes, ordinarias o cíclicas ni encomendar funciones que correspondan regularmente a cargos docentes.</w:t>
      </w:r>
    </w:p>
    <w:p w14:paraId="259CB3D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119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Toda contratación deberá formalizarse por acto fundado e indicar objeto, actividades, plazo, lugar y condiciones, retribución, obligaciones y causales de finalización anticipada. Las renovaciones sucesivas no podrán utilizarse para encubrir necesidades permanentes.</w:t>
      </w:r>
    </w:p>
    <w:p w14:paraId="07ACB46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selección deberá garantizar publicidad, idoneidad, igualdad de oportunidades y adecuación de antecedentes. Las contrataciones por especialidad singular deberán encontrarse especialmente fundadas.</w:t>
      </w:r>
    </w:p>
    <w:p w14:paraId="0792613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contrataciones se regirán por la normativa municipal y demás normas aplicables según su naturaleza jurídica. La prestación en una institución educativa no determinará incorporación al escalafón docente.</w:t>
      </w:r>
    </w:p>
    <w:p w14:paraId="15A91803"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XXV — DE LA CAPACITACIÓN, PERFECCIONAMIENTO Y ACTUALIZACIÓN PROFESIONAL</w:t>
      </w:r>
    </w:p>
    <w:p w14:paraId="130ADD1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122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capacitación, el perfeccionamiento y la actualización profesional constituyen un derecho del personal docente y una responsabilidad permanente de la Municipalidad en el marco de su política educativa. La Municipalidad promoverá y facilitará el acceso a instancias vinculadas con las funciones, niveles y modalidades.</w:t>
      </w:r>
    </w:p>
    <w:p w14:paraId="22CFB4F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La Municipalidad podrá desarrollar, organizar, financiar o facilitar cursos, trayectos formativos, becas, congresos, seminarios, jornadas, recursos pedagógicos, convenios con institutos superiores y universidades y otras acciones de capacitación. La </w:t>
      </w:r>
      <w:r w:rsidRPr="002B24F1">
        <w:rPr>
          <w:rFonts w:ascii="Arial" w:eastAsia="MS Mincho" w:hAnsi="Arial" w:cs="Times New Roman"/>
          <w:kern w:val="0"/>
          <w:sz w:val="21"/>
          <w:lang w:val="es-ES"/>
          <w14:ligatures w14:val="none"/>
        </w:rPr>
        <w:lastRenderedPageBreak/>
        <w:t>valoración de antecedentes para PAD y PID se regirá exclusivamente por los anexos correspondientes.</w:t>
      </w:r>
    </w:p>
    <w:p w14:paraId="155D13E9"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XXVI — DE LA JUBILACIÓN</w:t>
      </w:r>
    </w:p>
    <w:p w14:paraId="2ED1986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124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personal docente municipal estará sujeto al régimen previsional legalmente aplicable y tendrá derecho a los beneficios correspondientes a los servicios docentes conforme a la normativa previsional de la Provincia de Buenos Aires. La Municipalidad efectuará las certificaciones, aportes, contribuciones y actuaciones que le correspondan como empleadora, sin invadir las competencias del organismo previsional.</w:t>
      </w:r>
    </w:p>
    <w:p w14:paraId="39CF86B3"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Cuando el docente reúna los requisitos establecidos por la normativa previsional para acceder a los beneficios jubilatorios máximos correspondientes a su régimen, la Municipalidad podrá intimarlo a iniciar los trámites y, cumplidas las condiciones y procedimientos legalmente exigibles, disponer el cese para acogimiento al beneficio. La intimación deberá indicar documentación y otorgar plazo razonable. No podrá disponerse el cese si existe constancia suficiente de que no reúne los requisitos.</w:t>
      </w:r>
    </w:p>
    <w:p w14:paraId="696F431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docente que reúna los requisitos podrá solicitar voluntariamente el cese para acogerse al beneficio jubilatorio, indicando la fecha pretendida, con las certificaciones y actuaciones correspondientes.</w:t>
      </w:r>
    </w:p>
    <w:p w14:paraId="6C6E915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Producido el cese, el docente tendrá derecho al anticipo o adelanto jubilatorio que corresponda conforme a la normativa previsional vigente y los procedimientos del Instituto de Previsión Social de la Provincia de Buenos Aires </w:t>
      </w:r>
      <w:proofErr w:type="spellStart"/>
      <w:r w:rsidRPr="002B24F1">
        <w:rPr>
          <w:rFonts w:ascii="Arial" w:eastAsia="MS Mincho" w:hAnsi="Arial" w:cs="Times New Roman"/>
          <w:kern w:val="0"/>
          <w:sz w:val="21"/>
          <w:lang w:val="es-ES"/>
          <w14:ligatures w14:val="none"/>
        </w:rPr>
        <w:t>o</w:t>
      </w:r>
      <w:proofErr w:type="spellEnd"/>
      <w:r w:rsidRPr="002B24F1">
        <w:rPr>
          <w:rFonts w:ascii="Arial" w:eastAsia="MS Mincho" w:hAnsi="Arial" w:cs="Times New Roman"/>
          <w:kern w:val="0"/>
          <w:sz w:val="21"/>
          <w:lang w:val="es-ES"/>
          <w14:ligatures w14:val="none"/>
        </w:rPr>
        <w:t xml:space="preserve"> organismo sustituto. La Municipalidad cumplirá las obligaciones que correspondan al empleador.</w:t>
      </w:r>
    </w:p>
    <w:p w14:paraId="68C9ABD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128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Municipalidad expedirá y tramitará oportunamente las certificaciones de servicios, remuneraciones, aportes y demás documentación previsional. El docente podrá acceder a ella y solicitar rectificación de errores u omisiones.</w:t>
      </w:r>
    </w:p>
    <w:p w14:paraId="1BD221A9"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t>CAPÍTULO XXVII — DISPOSICIONES GENERALES Y TRANSITORIAS</w:t>
      </w:r>
    </w:p>
    <w:p w14:paraId="67621FF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br/>
        <w:t>ARTÍCULO 129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Las remisiones de este Estatuto a normativa educativa provincial comprenderán sus normas reglamentarias, complementarias, modificatorias y, cuando corresponda, las que en el futuro las sustituyan. En las materias de aplicación provincial expresa, se aplicarán con las adecuaciones derivadas de la organización municipal.</w:t>
      </w:r>
    </w:p>
    <w:p w14:paraId="3A71433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130</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En cuestiones no previstas expresamente por este Estatuto ni por la normativa municipal aplicable podrán utilizarse supletoriamente las disposiciones del Estatuto del Docente de la Provincia de Buenos Aires y normativa complementaria, siempre que sean compatibles con la naturaleza municipal de la relación, la organización educativa local y este Estatuto. La aplicación supletoria no podrá alterar institutos expresamente regulados ni incorporar cargos, órganos, procedimientos o situaciones de revista no contemplados.</w:t>
      </w:r>
    </w:p>
    <w:p w14:paraId="262B56F7"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131</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Las modificaciones de planes, diseños curriculares, estructuras, niveles, modalidades, denominaciones de cargos u organización institucional no afectarán por sí </w:t>
      </w:r>
      <w:r w:rsidRPr="002B24F1">
        <w:rPr>
          <w:rFonts w:ascii="Arial" w:eastAsia="MS Mincho" w:hAnsi="Arial" w:cs="Times New Roman"/>
          <w:kern w:val="0"/>
          <w:sz w:val="21"/>
          <w:lang w:val="es-ES"/>
          <w14:ligatures w14:val="none"/>
        </w:rPr>
        <w:lastRenderedPageBreak/>
        <w:t>mismas los derechos y garantías estatutarios. Si produjeran supresión o reducción de cargos, horas o módulos, se aplicará el régimen de disponibilidad y reubicación.</w:t>
      </w:r>
    </w:p>
    <w:p w14:paraId="67B402F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132</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proyectos de modificación del presente Estatuto serán tratados por el Honorable Concejo Deliberante conforme al procedimiento institucional correspondiente. Previamente deberá garantizarse una instancia de consulta a la autoridad educativa municipal, al Tribunal de Clasificación y a las entidades gremiales con representación de docentes municipales.</w:t>
      </w:r>
    </w:p>
    <w:p w14:paraId="7FE3AC2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133</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Departamento Ejecutivo dictará las normas reglamentarias necesarias dentro de ciento ochenta (180) días. La reglamentación no podrá alterar, restringir ni ampliar los derechos, requisitos, procedimientos o criterios sustantivos establecidos.</w:t>
      </w:r>
    </w:p>
    <w:p w14:paraId="5C4F505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134</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La entrada en vigencia no afectará titularidades, antigüedades, calificaciones, antecedentes, servicios reconocidos ni demás derechos adquiridos. Los procedimientos iniciados continuarán conforme al régimen vigente al momento de su iniciación, salvo aplicación expresa del nuevo régimen que no afecte derechos.</w:t>
      </w:r>
    </w:p>
    <w:p w14:paraId="69CB130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135</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 xml:space="preserve">A partir de la primera clasificación anual bajo este Estatuto, los títulos, </w:t>
      </w:r>
      <w:proofErr w:type="spellStart"/>
      <w:r w:rsidRPr="002B24F1">
        <w:rPr>
          <w:rFonts w:ascii="Arial" w:eastAsia="MS Mincho" w:hAnsi="Arial" w:cs="Times New Roman"/>
          <w:kern w:val="0"/>
          <w:sz w:val="21"/>
          <w:lang w:val="es-ES"/>
          <w14:ligatures w14:val="none"/>
        </w:rPr>
        <w:t>postítulos</w:t>
      </w:r>
      <w:proofErr w:type="spellEnd"/>
      <w:r w:rsidRPr="002B24F1">
        <w:rPr>
          <w:rFonts w:ascii="Arial" w:eastAsia="MS Mincho" w:hAnsi="Arial" w:cs="Times New Roman"/>
          <w:kern w:val="0"/>
          <w:sz w:val="21"/>
          <w:lang w:val="es-ES"/>
          <w14:ligatures w14:val="none"/>
        </w:rPr>
        <w:t xml:space="preserve">, certificados y cursos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xml:space="preserve"> para PAD se valorarán conforme al nomenclátor provincial con máximo de diez (10) puntos. Quienes registren puntaje anterior superior conservarán los antecedentes en su legajo, pero la valoración futura quedará limitada a diez (10).</w:t>
      </w:r>
    </w:p>
    <w:p w14:paraId="2EA57DB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136</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Los concursos de ascenso en trámite continuarán conforme a su convocatoria. Los órdenes de mérito vigentes conservarán efectos hasta ser reemplazados por el primer orden de mérito firme producido bajo este Estatuto, salvo pérdida anterior de vigencia.</w:t>
      </w:r>
    </w:p>
    <w:p w14:paraId="1DD563C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137</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primer listado de ingreso confeccionado tras la entrada en vigencia se elaborará conforme al Capítulo XII y Anexo III. Los listados vigentes conservarán validez hasta la aprobación definitiva de los nuevos. El nuevo sistema no afectará designaciones anteriores ni modificará órdenes de mérito ya utilizados.</w:t>
      </w:r>
    </w:p>
    <w:p w14:paraId="1E60770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138</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r w:rsidRPr="002B24F1">
        <w:rPr>
          <w:rFonts w:ascii="Arial" w:eastAsia="MS Mincho" w:hAnsi="Arial" w:cs="Times New Roman"/>
          <w:kern w:val="0"/>
          <w:sz w:val="21"/>
          <w:lang w:val="es-ES"/>
          <w14:ligatures w14:val="none"/>
        </w:rPr>
        <w:t>El Tribunal de Clasificación y el Tribunal de Disciplina adecuarán su integración dentro de noventa (90) días. Hasta entonces, sus integrantes actuales ejercerán únicamente las funciones indispensables para continuidad de procedimientos y acciones que no admitan demora. Constituidos los nuevos Tribunales, cesarán de pleno derecho las integraciones anteriores.</w:t>
      </w:r>
    </w:p>
    <w:p w14:paraId="75C3C6F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b/>
          <w:kern w:val="0"/>
          <w:sz w:val="21"/>
          <w:lang w:val="es-ES"/>
          <w14:ligatures w14:val="none"/>
        </w:rPr>
        <w:t>ARTÍCULO 139</w:t>
      </w:r>
      <w:proofErr w:type="gramStart"/>
      <w:r w:rsidRPr="002B24F1">
        <w:rPr>
          <w:rFonts w:ascii="Arial" w:eastAsia="MS Mincho" w:hAnsi="Arial" w:cs="Times New Roman"/>
          <w:b/>
          <w:kern w:val="0"/>
          <w:sz w:val="21"/>
          <w:lang w:val="es-ES"/>
          <w14:ligatures w14:val="none"/>
        </w:rPr>
        <w:t>°.-</w:t>
      </w:r>
      <w:proofErr w:type="gramEnd"/>
      <w:r w:rsidRPr="002B24F1">
        <w:rPr>
          <w:rFonts w:ascii="Arial" w:eastAsia="MS Mincho" w:hAnsi="Arial" w:cs="Times New Roman"/>
          <w:b/>
          <w:kern w:val="0"/>
          <w:sz w:val="21"/>
          <w:lang w:val="es-ES"/>
          <w14:ligatures w14:val="none"/>
        </w:rPr>
        <w:t xml:space="preserve"> </w:t>
      </w:r>
      <w:proofErr w:type="spellStart"/>
      <w:r w:rsidRPr="002B24F1">
        <w:rPr>
          <w:rFonts w:ascii="Arial" w:eastAsia="MS Mincho" w:hAnsi="Arial" w:cs="Times New Roman"/>
          <w:kern w:val="0"/>
          <w:sz w:val="21"/>
          <w:lang w:val="es-ES"/>
          <w14:ligatures w14:val="none"/>
        </w:rPr>
        <w:t>Deróganse</w:t>
      </w:r>
      <w:proofErr w:type="spellEnd"/>
      <w:r w:rsidRPr="002B24F1">
        <w:rPr>
          <w:rFonts w:ascii="Arial" w:eastAsia="MS Mincho" w:hAnsi="Arial" w:cs="Times New Roman"/>
          <w:kern w:val="0"/>
          <w:sz w:val="21"/>
          <w:lang w:val="es-ES"/>
          <w14:ligatures w14:val="none"/>
        </w:rPr>
        <w:t xml:space="preserve"> la Ordenanza N° 3437/2004 y sus modificatorias, así como las disposiciones de igual o inferior jerarquía que se opongan al presente Estatuto, sin afectar las normas municipales complementarias compatibles con él.</w:t>
      </w:r>
    </w:p>
    <w:p w14:paraId="72B5207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br w:type="page"/>
      </w:r>
    </w:p>
    <w:p w14:paraId="29AB3F30"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lastRenderedPageBreak/>
        <w:t>ANEXO II — PUNTAJE ANUAL DOCENTE (PAD)</w:t>
      </w:r>
    </w:p>
    <w:p w14:paraId="29A3D2B4"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1. El PAD se confeccionará anualmente para cada cargo, área, asignatura, nivel o incumbencia en que el docente revista como titular.</w:t>
      </w:r>
    </w:p>
    <w:p w14:paraId="0CD71B0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2. Fórmula: PAD = (Título habilitante +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xml:space="preserve"> + Desempeño jerárquico + Antigüedad) × Calificación.</w:t>
      </w:r>
    </w:p>
    <w:tbl>
      <w:tblPr>
        <w:tblStyle w:val="Tablaconcuadrcula1"/>
        <w:tblW w:w="0" w:type="auto"/>
        <w:jc w:val="center"/>
        <w:tblLook w:val="04A0" w:firstRow="1" w:lastRow="0" w:firstColumn="1" w:lastColumn="0" w:noHBand="0" w:noVBand="1"/>
      </w:tblPr>
      <w:tblGrid>
        <w:gridCol w:w="2775"/>
        <w:gridCol w:w="2954"/>
        <w:gridCol w:w="2765"/>
      </w:tblGrid>
      <w:tr w:rsidR="002B24F1" w:rsidRPr="002B24F1" w14:paraId="355D832A" w14:textId="77777777" w:rsidTr="006D67E3">
        <w:trPr>
          <w:jc w:val="center"/>
        </w:trPr>
        <w:tc>
          <w:tcPr>
            <w:tcW w:w="3192" w:type="dxa"/>
          </w:tcPr>
          <w:p w14:paraId="3335D5DB"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Componente</w:t>
            </w:r>
            <w:proofErr w:type="spellEnd"/>
          </w:p>
        </w:tc>
        <w:tc>
          <w:tcPr>
            <w:tcW w:w="3192" w:type="dxa"/>
          </w:tcPr>
          <w:p w14:paraId="335A105F"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Criterio</w:t>
            </w:r>
            <w:proofErr w:type="spellEnd"/>
          </w:p>
        </w:tc>
        <w:tc>
          <w:tcPr>
            <w:tcW w:w="3192" w:type="dxa"/>
          </w:tcPr>
          <w:p w14:paraId="2132CFE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Tope</w:t>
            </w:r>
          </w:p>
        </w:tc>
      </w:tr>
      <w:tr w:rsidR="002B24F1" w:rsidRPr="002B24F1" w14:paraId="0DFAE679" w14:textId="77777777" w:rsidTr="006D67E3">
        <w:trPr>
          <w:jc w:val="center"/>
        </w:trPr>
        <w:tc>
          <w:tcPr>
            <w:tcW w:w="3192" w:type="dxa"/>
          </w:tcPr>
          <w:p w14:paraId="5F7DC456"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Título</w:t>
            </w:r>
            <w:proofErr w:type="spellEnd"/>
            <w:r w:rsidRPr="002B24F1">
              <w:rPr>
                <w:rFonts w:ascii="Arial" w:hAnsi="Arial" w:cs="Times New Roman"/>
                <w:sz w:val="21"/>
              </w:rPr>
              <w:t xml:space="preserve"> </w:t>
            </w:r>
            <w:proofErr w:type="spellStart"/>
            <w:r w:rsidRPr="002B24F1">
              <w:rPr>
                <w:rFonts w:ascii="Arial" w:hAnsi="Arial" w:cs="Times New Roman"/>
                <w:sz w:val="21"/>
              </w:rPr>
              <w:t>habilitante</w:t>
            </w:r>
            <w:proofErr w:type="spellEnd"/>
          </w:p>
        </w:tc>
        <w:tc>
          <w:tcPr>
            <w:tcW w:w="3192" w:type="dxa"/>
          </w:tcPr>
          <w:p w14:paraId="76E20E86"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Valor según nomenclátor provincial aplicable a la incumbencia.</w:t>
            </w:r>
          </w:p>
        </w:tc>
        <w:tc>
          <w:tcPr>
            <w:tcW w:w="3192" w:type="dxa"/>
          </w:tcPr>
          <w:p w14:paraId="59543179"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Según</w:t>
            </w:r>
            <w:proofErr w:type="spellEnd"/>
            <w:r w:rsidRPr="002B24F1">
              <w:rPr>
                <w:rFonts w:ascii="Arial" w:hAnsi="Arial" w:cs="Times New Roman"/>
                <w:sz w:val="21"/>
              </w:rPr>
              <w:t xml:space="preserve"> </w:t>
            </w:r>
            <w:proofErr w:type="spellStart"/>
            <w:r w:rsidRPr="002B24F1">
              <w:rPr>
                <w:rFonts w:ascii="Arial" w:hAnsi="Arial" w:cs="Times New Roman"/>
                <w:sz w:val="21"/>
              </w:rPr>
              <w:t>nomenclátor</w:t>
            </w:r>
            <w:proofErr w:type="spellEnd"/>
          </w:p>
        </w:tc>
      </w:tr>
      <w:tr w:rsidR="002B24F1" w:rsidRPr="002B24F1" w14:paraId="512C573D" w14:textId="77777777" w:rsidTr="006D67E3">
        <w:trPr>
          <w:jc w:val="center"/>
        </w:trPr>
        <w:tc>
          <w:tcPr>
            <w:tcW w:w="3192" w:type="dxa"/>
          </w:tcPr>
          <w:p w14:paraId="6D685891"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Bonificantes</w:t>
            </w:r>
            <w:proofErr w:type="spellEnd"/>
          </w:p>
        </w:tc>
        <w:tc>
          <w:tcPr>
            <w:tcW w:w="3192" w:type="dxa"/>
          </w:tcPr>
          <w:p w14:paraId="571A9DBF"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 xml:space="preserve">Títulos, </w:t>
            </w:r>
            <w:proofErr w:type="spellStart"/>
            <w:r w:rsidRPr="002B24F1">
              <w:rPr>
                <w:rFonts w:ascii="Arial" w:hAnsi="Arial" w:cs="Times New Roman"/>
                <w:sz w:val="21"/>
                <w:lang w:val="es-ES"/>
              </w:rPr>
              <w:t>postítulos</w:t>
            </w:r>
            <w:proofErr w:type="spellEnd"/>
            <w:r w:rsidRPr="002B24F1">
              <w:rPr>
                <w:rFonts w:ascii="Arial" w:hAnsi="Arial" w:cs="Times New Roman"/>
                <w:sz w:val="21"/>
                <w:lang w:val="es-ES"/>
              </w:rPr>
              <w:t>, certificados y cursos según nomenclátor provincial.</w:t>
            </w:r>
          </w:p>
        </w:tc>
        <w:tc>
          <w:tcPr>
            <w:tcW w:w="3192" w:type="dxa"/>
          </w:tcPr>
          <w:p w14:paraId="332297F5"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 xml:space="preserve">10 </w:t>
            </w:r>
            <w:proofErr w:type="spellStart"/>
            <w:r w:rsidRPr="002B24F1">
              <w:rPr>
                <w:rFonts w:ascii="Arial" w:hAnsi="Arial" w:cs="Times New Roman"/>
                <w:sz w:val="21"/>
              </w:rPr>
              <w:t>puntos</w:t>
            </w:r>
            <w:proofErr w:type="spellEnd"/>
          </w:p>
        </w:tc>
      </w:tr>
      <w:tr w:rsidR="002B24F1" w:rsidRPr="002B24F1" w14:paraId="4D34E791" w14:textId="77777777" w:rsidTr="006D67E3">
        <w:trPr>
          <w:jc w:val="center"/>
        </w:trPr>
        <w:tc>
          <w:tcPr>
            <w:tcW w:w="3192" w:type="dxa"/>
          </w:tcPr>
          <w:p w14:paraId="2D1B92B5"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Desempeño</w:t>
            </w:r>
            <w:proofErr w:type="spellEnd"/>
            <w:r w:rsidRPr="002B24F1">
              <w:rPr>
                <w:rFonts w:ascii="Arial" w:hAnsi="Arial" w:cs="Times New Roman"/>
                <w:sz w:val="21"/>
              </w:rPr>
              <w:t xml:space="preserve"> </w:t>
            </w:r>
            <w:proofErr w:type="spellStart"/>
            <w:r w:rsidRPr="002B24F1">
              <w:rPr>
                <w:rFonts w:ascii="Arial" w:hAnsi="Arial" w:cs="Times New Roman"/>
                <w:sz w:val="21"/>
              </w:rPr>
              <w:t>jerárquico</w:t>
            </w:r>
            <w:proofErr w:type="spellEnd"/>
          </w:p>
        </w:tc>
        <w:tc>
          <w:tcPr>
            <w:tcW w:w="3192" w:type="dxa"/>
          </w:tcPr>
          <w:p w14:paraId="15D7F18A"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lang w:val="es-ES"/>
              </w:rPr>
              <w:t xml:space="preserve">Director/Vicedirector: 1 punto por ciclo lectivo completo. Secretario: 0,50 por ciclo lectivo completo. </w:t>
            </w:r>
            <w:r w:rsidRPr="002B24F1">
              <w:rPr>
                <w:rFonts w:ascii="Arial" w:hAnsi="Arial" w:cs="Times New Roman"/>
                <w:sz w:val="21"/>
              </w:rPr>
              <w:t xml:space="preserve">Se </w:t>
            </w:r>
            <w:proofErr w:type="spellStart"/>
            <w:r w:rsidRPr="002B24F1">
              <w:rPr>
                <w:rFonts w:ascii="Arial" w:hAnsi="Arial" w:cs="Times New Roman"/>
                <w:sz w:val="21"/>
              </w:rPr>
              <w:t>computa</w:t>
            </w:r>
            <w:proofErr w:type="spellEnd"/>
            <w:r w:rsidRPr="002B24F1">
              <w:rPr>
                <w:rFonts w:ascii="Arial" w:hAnsi="Arial" w:cs="Times New Roman"/>
                <w:sz w:val="21"/>
              </w:rPr>
              <w:t xml:space="preserve"> </w:t>
            </w:r>
            <w:proofErr w:type="spellStart"/>
            <w:r w:rsidRPr="002B24F1">
              <w:rPr>
                <w:rFonts w:ascii="Arial" w:hAnsi="Arial" w:cs="Times New Roman"/>
                <w:sz w:val="21"/>
              </w:rPr>
              <w:t>desempeño</w:t>
            </w:r>
            <w:proofErr w:type="spellEnd"/>
            <w:r w:rsidRPr="002B24F1">
              <w:rPr>
                <w:rFonts w:ascii="Arial" w:hAnsi="Arial" w:cs="Times New Roman"/>
                <w:sz w:val="21"/>
              </w:rPr>
              <w:t xml:space="preserve"> titular, provisional o </w:t>
            </w:r>
            <w:proofErr w:type="spellStart"/>
            <w:r w:rsidRPr="002B24F1">
              <w:rPr>
                <w:rFonts w:ascii="Arial" w:hAnsi="Arial" w:cs="Times New Roman"/>
                <w:sz w:val="21"/>
              </w:rPr>
              <w:t>transitorio</w:t>
            </w:r>
            <w:proofErr w:type="spellEnd"/>
            <w:r w:rsidRPr="002B24F1">
              <w:rPr>
                <w:rFonts w:ascii="Arial" w:hAnsi="Arial" w:cs="Times New Roman"/>
                <w:sz w:val="21"/>
              </w:rPr>
              <w:t>.</w:t>
            </w:r>
          </w:p>
        </w:tc>
        <w:tc>
          <w:tcPr>
            <w:tcW w:w="3192" w:type="dxa"/>
          </w:tcPr>
          <w:p w14:paraId="1859EF1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 xml:space="preserve">10 </w:t>
            </w:r>
            <w:proofErr w:type="spellStart"/>
            <w:r w:rsidRPr="002B24F1">
              <w:rPr>
                <w:rFonts w:ascii="Arial" w:hAnsi="Arial" w:cs="Times New Roman"/>
                <w:sz w:val="21"/>
              </w:rPr>
              <w:t>puntos</w:t>
            </w:r>
            <w:proofErr w:type="spellEnd"/>
          </w:p>
        </w:tc>
      </w:tr>
      <w:tr w:rsidR="002B24F1" w:rsidRPr="002B24F1" w14:paraId="7046085D" w14:textId="77777777" w:rsidTr="006D67E3">
        <w:trPr>
          <w:jc w:val="center"/>
        </w:trPr>
        <w:tc>
          <w:tcPr>
            <w:tcW w:w="3192" w:type="dxa"/>
          </w:tcPr>
          <w:p w14:paraId="01A48CB5"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Antigüedad</w:t>
            </w:r>
            <w:proofErr w:type="spellEnd"/>
          </w:p>
        </w:tc>
        <w:tc>
          <w:tcPr>
            <w:tcW w:w="3192" w:type="dxa"/>
          </w:tcPr>
          <w:p w14:paraId="20B6A5DE"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Antigüedad docente computable conforme a la planilla y criterio municipal vigente para PAD.</w:t>
            </w:r>
          </w:p>
        </w:tc>
        <w:tc>
          <w:tcPr>
            <w:tcW w:w="3192" w:type="dxa"/>
          </w:tcPr>
          <w:p w14:paraId="1A05EC46"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Según</w:t>
            </w:r>
            <w:proofErr w:type="spellEnd"/>
            <w:r w:rsidRPr="002B24F1">
              <w:rPr>
                <w:rFonts w:ascii="Arial" w:hAnsi="Arial" w:cs="Times New Roman"/>
                <w:sz w:val="21"/>
              </w:rPr>
              <w:t xml:space="preserve"> </w:t>
            </w:r>
            <w:proofErr w:type="spellStart"/>
            <w:r w:rsidRPr="002B24F1">
              <w:rPr>
                <w:rFonts w:ascii="Arial" w:hAnsi="Arial" w:cs="Times New Roman"/>
                <w:sz w:val="21"/>
              </w:rPr>
              <w:t>criterio</w:t>
            </w:r>
            <w:proofErr w:type="spellEnd"/>
            <w:r w:rsidRPr="002B24F1">
              <w:rPr>
                <w:rFonts w:ascii="Arial" w:hAnsi="Arial" w:cs="Times New Roman"/>
                <w:sz w:val="21"/>
              </w:rPr>
              <w:t xml:space="preserve"> </w:t>
            </w:r>
            <w:proofErr w:type="spellStart"/>
            <w:r w:rsidRPr="002B24F1">
              <w:rPr>
                <w:rFonts w:ascii="Arial" w:hAnsi="Arial" w:cs="Times New Roman"/>
                <w:sz w:val="21"/>
              </w:rPr>
              <w:t>estatutario</w:t>
            </w:r>
            <w:proofErr w:type="spellEnd"/>
          </w:p>
        </w:tc>
      </w:tr>
      <w:tr w:rsidR="002B24F1" w:rsidRPr="002B24F1" w14:paraId="5F6A03AD" w14:textId="77777777" w:rsidTr="006D67E3">
        <w:trPr>
          <w:jc w:val="center"/>
        </w:trPr>
        <w:tc>
          <w:tcPr>
            <w:tcW w:w="3192" w:type="dxa"/>
          </w:tcPr>
          <w:p w14:paraId="49BBD28E"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Calificación</w:t>
            </w:r>
            <w:proofErr w:type="spellEnd"/>
          </w:p>
        </w:tc>
        <w:tc>
          <w:tcPr>
            <w:tcW w:w="3192" w:type="dxa"/>
          </w:tcPr>
          <w:p w14:paraId="45897012"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Calificación anual aplicable como multiplicador conforme a la escala estatutaria.</w:t>
            </w:r>
          </w:p>
        </w:tc>
        <w:tc>
          <w:tcPr>
            <w:tcW w:w="3192" w:type="dxa"/>
          </w:tcPr>
          <w:p w14:paraId="449D3E4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0 a 10</w:t>
            </w:r>
          </w:p>
        </w:tc>
      </w:tr>
    </w:tbl>
    <w:p w14:paraId="011BE94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3. Los antecedentes jerárquicos conservan su registro </w:t>
      </w:r>
      <w:proofErr w:type="gramStart"/>
      <w:r w:rsidRPr="002B24F1">
        <w:rPr>
          <w:rFonts w:ascii="Arial" w:eastAsia="MS Mincho" w:hAnsi="Arial" w:cs="Times New Roman"/>
          <w:kern w:val="0"/>
          <w:sz w:val="21"/>
          <w:lang w:val="es-ES"/>
          <w14:ligatures w14:val="none"/>
        </w:rPr>
        <w:t>histórico</w:t>
      </w:r>
      <w:proofErr w:type="gramEnd"/>
      <w:r w:rsidRPr="002B24F1">
        <w:rPr>
          <w:rFonts w:ascii="Arial" w:eastAsia="MS Mincho" w:hAnsi="Arial" w:cs="Times New Roman"/>
          <w:kern w:val="0"/>
          <w:sz w:val="21"/>
          <w:lang w:val="es-ES"/>
          <w14:ligatures w14:val="none"/>
        </w:rPr>
        <w:t xml:space="preserve"> aunque se alcance el tope.</w:t>
      </w:r>
    </w:p>
    <w:p w14:paraId="26D2069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4. Los docentes con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xml:space="preserve"> superiores a diez (10) puntos bajo el régimen anterior conservarán los antecedentes en el legajo, aplicándose el tope de diez (10) para los PAD futuros.</w:t>
      </w:r>
    </w:p>
    <w:p w14:paraId="6252A91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5. La planilla anual deberá exhibir todos los valores, operaciones y resultado final y dejar constancia de la notificación.</w:t>
      </w:r>
    </w:p>
    <w:p w14:paraId="182EAAF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br w:type="page"/>
      </w:r>
    </w:p>
    <w:p w14:paraId="5161BDC4"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lastRenderedPageBreak/>
        <w:t>ANEXO III — PUNTAJE DE INGRESO A LA DOCENCIA (PID)</w:t>
      </w:r>
    </w:p>
    <w:p w14:paraId="2DB9E198" w14:textId="77777777" w:rsidR="002B24F1" w:rsidRPr="002B24F1" w:rsidRDefault="002B24F1" w:rsidP="002B24F1">
      <w:pPr>
        <w:spacing w:after="200" w:line="276" w:lineRule="auto"/>
        <w:jc w:val="both"/>
        <w:rPr>
          <w:rFonts w:ascii="Arial" w:eastAsia="MS Mincho" w:hAnsi="Arial" w:cs="Times New Roman"/>
          <w:kern w:val="0"/>
          <w:sz w:val="21"/>
          <w:lang w:val="en-US"/>
          <w14:ligatures w14:val="none"/>
        </w:rPr>
      </w:pPr>
      <w:r w:rsidRPr="002B24F1">
        <w:rPr>
          <w:rFonts w:ascii="Arial" w:eastAsia="MS Mincho" w:hAnsi="Arial" w:cs="Times New Roman"/>
          <w:kern w:val="0"/>
          <w:sz w:val="21"/>
          <w:lang w:val="es-ES"/>
          <w14:ligatures w14:val="none"/>
        </w:rPr>
        <w:t xml:space="preserve">El PID es aditivo y se calculará separadamente por cargo, área, asignatura e incumbencia. </w:t>
      </w:r>
      <w:r w:rsidRPr="002B24F1">
        <w:rPr>
          <w:rFonts w:ascii="Arial" w:eastAsia="MS Mincho" w:hAnsi="Arial" w:cs="Times New Roman"/>
          <w:kern w:val="0"/>
          <w:sz w:val="21"/>
          <w:lang w:val="en-US"/>
          <w14:ligatures w14:val="none"/>
        </w:rPr>
        <w:t xml:space="preserve">No se </w:t>
      </w:r>
      <w:proofErr w:type="spellStart"/>
      <w:r w:rsidRPr="002B24F1">
        <w:rPr>
          <w:rFonts w:ascii="Arial" w:eastAsia="MS Mincho" w:hAnsi="Arial" w:cs="Times New Roman"/>
          <w:kern w:val="0"/>
          <w:sz w:val="21"/>
          <w:lang w:val="en-US"/>
          <w14:ligatures w14:val="none"/>
        </w:rPr>
        <w:t>computará</w:t>
      </w:r>
      <w:proofErr w:type="spellEnd"/>
      <w:r w:rsidRPr="002B24F1">
        <w:rPr>
          <w:rFonts w:ascii="Arial" w:eastAsia="MS Mincho" w:hAnsi="Arial" w:cs="Times New Roman"/>
          <w:kern w:val="0"/>
          <w:sz w:val="21"/>
          <w:lang w:val="en-US"/>
          <w14:ligatures w14:val="none"/>
        </w:rPr>
        <w:t xml:space="preserve"> </w:t>
      </w:r>
      <w:proofErr w:type="spellStart"/>
      <w:r w:rsidRPr="002B24F1">
        <w:rPr>
          <w:rFonts w:ascii="Arial" w:eastAsia="MS Mincho" w:hAnsi="Arial" w:cs="Times New Roman"/>
          <w:kern w:val="0"/>
          <w:sz w:val="21"/>
          <w:lang w:val="en-US"/>
          <w14:ligatures w14:val="none"/>
        </w:rPr>
        <w:t>desfavorabilidad</w:t>
      </w:r>
      <w:proofErr w:type="spellEnd"/>
      <w:r w:rsidRPr="002B24F1">
        <w:rPr>
          <w:rFonts w:ascii="Arial" w:eastAsia="MS Mincho" w:hAnsi="Arial" w:cs="Times New Roman"/>
          <w:kern w:val="0"/>
          <w:sz w:val="21"/>
          <w:lang w:val="en-US"/>
          <w14:ligatures w14:val="none"/>
        </w:rPr>
        <w:t>.</w:t>
      </w:r>
    </w:p>
    <w:tbl>
      <w:tblPr>
        <w:tblStyle w:val="Tablaconcuadrcula1"/>
        <w:tblW w:w="0" w:type="auto"/>
        <w:jc w:val="center"/>
        <w:tblLook w:val="04A0" w:firstRow="1" w:lastRow="0" w:firstColumn="1" w:lastColumn="0" w:noHBand="0" w:noVBand="1"/>
      </w:tblPr>
      <w:tblGrid>
        <w:gridCol w:w="1129"/>
        <w:gridCol w:w="2268"/>
        <w:gridCol w:w="3402"/>
        <w:gridCol w:w="1695"/>
      </w:tblGrid>
      <w:tr w:rsidR="002B24F1" w:rsidRPr="002B24F1" w14:paraId="7086BBBF" w14:textId="77777777" w:rsidTr="002B24F1">
        <w:trPr>
          <w:jc w:val="center"/>
        </w:trPr>
        <w:tc>
          <w:tcPr>
            <w:tcW w:w="1129" w:type="dxa"/>
          </w:tcPr>
          <w:p w14:paraId="4F105271"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Ítem</w:t>
            </w:r>
            <w:proofErr w:type="spellEnd"/>
          </w:p>
        </w:tc>
        <w:tc>
          <w:tcPr>
            <w:tcW w:w="2268" w:type="dxa"/>
          </w:tcPr>
          <w:p w14:paraId="4037AB2B"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Componente</w:t>
            </w:r>
            <w:proofErr w:type="spellEnd"/>
          </w:p>
        </w:tc>
        <w:tc>
          <w:tcPr>
            <w:tcW w:w="3402" w:type="dxa"/>
          </w:tcPr>
          <w:p w14:paraId="32AE5C99"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Valoración</w:t>
            </w:r>
            <w:proofErr w:type="spellEnd"/>
          </w:p>
        </w:tc>
        <w:tc>
          <w:tcPr>
            <w:tcW w:w="1695" w:type="dxa"/>
          </w:tcPr>
          <w:p w14:paraId="66233A76"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Máximo</w:t>
            </w:r>
            <w:proofErr w:type="spellEnd"/>
          </w:p>
        </w:tc>
      </w:tr>
      <w:tr w:rsidR="002B24F1" w:rsidRPr="002B24F1" w14:paraId="295AF647" w14:textId="77777777" w:rsidTr="002B24F1">
        <w:trPr>
          <w:jc w:val="center"/>
        </w:trPr>
        <w:tc>
          <w:tcPr>
            <w:tcW w:w="1129" w:type="dxa"/>
          </w:tcPr>
          <w:p w14:paraId="7BDD8A64"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1</w:t>
            </w:r>
          </w:p>
        </w:tc>
        <w:tc>
          <w:tcPr>
            <w:tcW w:w="2268" w:type="dxa"/>
          </w:tcPr>
          <w:p w14:paraId="7D130FD7"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Título</w:t>
            </w:r>
            <w:proofErr w:type="spellEnd"/>
            <w:r w:rsidRPr="002B24F1">
              <w:rPr>
                <w:rFonts w:ascii="Arial" w:hAnsi="Arial" w:cs="Times New Roman"/>
                <w:sz w:val="21"/>
              </w:rPr>
              <w:t xml:space="preserve"> </w:t>
            </w:r>
            <w:proofErr w:type="spellStart"/>
            <w:r w:rsidRPr="002B24F1">
              <w:rPr>
                <w:rFonts w:ascii="Arial" w:hAnsi="Arial" w:cs="Times New Roman"/>
                <w:sz w:val="21"/>
              </w:rPr>
              <w:t>habilitante</w:t>
            </w:r>
            <w:proofErr w:type="spellEnd"/>
          </w:p>
        </w:tc>
        <w:tc>
          <w:tcPr>
            <w:tcW w:w="3402" w:type="dxa"/>
          </w:tcPr>
          <w:p w14:paraId="5F53B280"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Valor según nomenclátor provincial aplicable.</w:t>
            </w:r>
          </w:p>
        </w:tc>
        <w:tc>
          <w:tcPr>
            <w:tcW w:w="1695" w:type="dxa"/>
          </w:tcPr>
          <w:p w14:paraId="28F3BB08"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Según</w:t>
            </w:r>
            <w:proofErr w:type="spellEnd"/>
            <w:r w:rsidRPr="002B24F1">
              <w:rPr>
                <w:rFonts w:ascii="Arial" w:hAnsi="Arial" w:cs="Times New Roman"/>
                <w:sz w:val="21"/>
              </w:rPr>
              <w:t xml:space="preserve"> </w:t>
            </w:r>
            <w:proofErr w:type="spellStart"/>
            <w:r w:rsidRPr="002B24F1">
              <w:rPr>
                <w:rFonts w:ascii="Arial" w:hAnsi="Arial" w:cs="Times New Roman"/>
                <w:sz w:val="21"/>
              </w:rPr>
              <w:t>nomenclátor</w:t>
            </w:r>
            <w:proofErr w:type="spellEnd"/>
          </w:p>
        </w:tc>
      </w:tr>
      <w:tr w:rsidR="002B24F1" w:rsidRPr="002B24F1" w14:paraId="6D2034A8" w14:textId="77777777" w:rsidTr="002B24F1">
        <w:trPr>
          <w:jc w:val="center"/>
        </w:trPr>
        <w:tc>
          <w:tcPr>
            <w:tcW w:w="1129" w:type="dxa"/>
          </w:tcPr>
          <w:p w14:paraId="21A6C98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2</w:t>
            </w:r>
          </w:p>
        </w:tc>
        <w:tc>
          <w:tcPr>
            <w:tcW w:w="2268" w:type="dxa"/>
          </w:tcPr>
          <w:p w14:paraId="168D06D3"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Antigüedad</w:t>
            </w:r>
            <w:proofErr w:type="spellEnd"/>
            <w:r w:rsidRPr="002B24F1">
              <w:rPr>
                <w:rFonts w:ascii="Arial" w:hAnsi="Arial" w:cs="Times New Roman"/>
                <w:sz w:val="21"/>
              </w:rPr>
              <w:t xml:space="preserve"> del </w:t>
            </w:r>
            <w:proofErr w:type="spellStart"/>
            <w:r w:rsidRPr="002B24F1">
              <w:rPr>
                <w:rFonts w:ascii="Arial" w:hAnsi="Arial" w:cs="Times New Roman"/>
                <w:sz w:val="21"/>
              </w:rPr>
              <w:t>título</w:t>
            </w:r>
            <w:proofErr w:type="spellEnd"/>
          </w:p>
        </w:tc>
        <w:tc>
          <w:tcPr>
            <w:tcW w:w="3402" w:type="dxa"/>
          </w:tcPr>
          <w:p w14:paraId="3B4B7F87"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0,25 punto por año, hasta 10 años.</w:t>
            </w:r>
          </w:p>
        </w:tc>
        <w:tc>
          <w:tcPr>
            <w:tcW w:w="1695" w:type="dxa"/>
          </w:tcPr>
          <w:p w14:paraId="5A6844B2"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2,50</w:t>
            </w:r>
          </w:p>
        </w:tc>
      </w:tr>
      <w:tr w:rsidR="002B24F1" w:rsidRPr="002B24F1" w14:paraId="04AE77BB" w14:textId="77777777" w:rsidTr="002B24F1">
        <w:trPr>
          <w:jc w:val="center"/>
        </w:trPr>
        <w:tc>
          <w:tcPr>
            <w:tcW w:w="1129" w:type="dxa"/>
          </w:tcPr>
          <w:p w14:paraId="079102A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3</w:t>
            </w:r>
          </w:p>
        </w:tc>
        <w:tc>
          <w:tcPr>
            <w:tcW w:w="2268" w:type="dxa"/>
          </w:tcPr>
          <w:p w14:paraId="611E75B0"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Promedio</w:t>
            </w:r>
            <w:proofErr w:type="spellEnd"/>
            <w:r w:rsidRPr="002B24F1">
              <w:rPr>
                <w:rFonts w:ascii="Arial" w:hAnsi="Arial" w:cs="Times New Roman"/>
                <w:sz w:val="21"/>
              </w:rPr>
              <w:t xml:space="preserve"> del </w:t>
            </w:r>
            <w:proofErr w:type="spellStart"/>
            <w:r w:rsidRPr="002B24F1">
              <w:rPr>
                <w:rFonts w:ascii="Arial" w:hAnsi="Arial" w:cs="Times New Roman"/>
                <w:sz w:val="21"/>
              </w:rPr>
              <w:t>título</w:t>
            </w:r>
            <w:proofErr w:type="spellEnd"/>
          </w:p>
        </w:tc>
        <w:tc>
          <w:tcPr>
            <w:tcW w:w="3402" w:type="dxa"/>
          </w:tcPr>
          <w:p w14:paraId="6895B84D"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9,51–10: 0,20; 8–9,50: 0,15; 6–7,99: 0,10.</w:t>
            </w:r>
          </w:p>
        </w:tc>
        <w:tc>
          <w:tcPr>
            <w:tcW w:w="1695" w:type="dxa"/>
          </w:tcPr>
          <w:p w14:paraId="52CC5A3B"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0,20</w:t>
            </w:r>
          </w:p>
        </w:tc>
      </w:tr>
      <w:tr w:rsidR="002B24F1" w:rsidRPr="002B24F1" w14:paraId="38569E45" w14:textId="77777777" w:rsidTr="002B24F1">
        <w:trPr>
          <w:jc w:val="center"/>
        </w:trPr>
        <w:tc>
          <w:tcPr>
            <w:tcW w:w="1129" w:type="dxa"/>
          </w:tcPr>
          <w:p w14:paraId="343402CC"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4</w:t>
            </w:r>
          </w:p>
        </w:tc>
        <w:tc>
          <w:tcPr>
            <w:tcW w:w="2268" w:type="dxa"/>
          </w:tcPr>
          <w:p w14:paraId="4A5C18FC"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Antigüedad docente en nivel/modalidad</w:t>
            </w:r>
          </w:p>
        </w:tc>
        <w:tc>
          <w:tcPr>
            <w:tcW w:w="3402" w:type="dxa"/>
          </w:tcPr>
          <w:p w14:paraId="4A376352"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0,50 por ciclo computable, hasta 10 ciclos.</w:t>
            </w:r>
          </w:p>
        </w:tc>
        <w:tc>
          <w:tcPr>
            <w:tcW w:w="1695" w:type="dxa"/>
          </w:tcPr>
          <w:p w14:paraId="49EA3095"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5,00</w:t>
            </w:r>
          </w:p>
        </w:tc>
      </w:tr>
      <w:tr w:rsidR="002B24F1" w:rsidRPr="002B24F1" w14:paraId="0800A910" w14:textId="77777777" w:rsidTr="002B24F1">
        <w:trPr>
          <w:jc w:val="center"/>
        </w:trPr>
        <w:tc>
          <w:tcPr>
            <w:tcW w:w="1129" w:type="dxa"/>
          </w:tcPr>
          <w:p w14:paraId="6E02843F"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5</w:t>
            </w:r>
          </w:p>
        </w:tc>
        <w:tc>
          <w:tcPr>
            <w:tcW w:w="2268" w:type="dxa"/>
          </w:tcPr>
          <w:p w14:paraId="71985427"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Antigüedad en el mismo ítem o equivalente</w:t>
            </w:r>
          </w:p>
        </w:tc>
        <w:tc>
          <w:tcPr>
            <w:tcW w:w="3402" w:type="dxa"/>
          </w:tcPr>
          <w:p w14:paraId="7BE15254"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0,25 por ciclo computable, hasta 10 ciclos.</w:t>
            </w:r>
          </w:p>
        </w:tc>
        <w:tc>
          <w:tcPr>
            <w:tcW w:w="1695" w:type="dxa"/>
          </w:tcPr>
          <w:p w14:paraId="0E204B97"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2,50</w:t>
            </w:r>
          </w:p>
        </w:tc>
      </w:tr>
      <w:tr w:rsidR="002B24F1" w:rsidRPr="002B24F1" w14:paraId="6EB49190" w14:textId="77777777" w:rsidTr="002B24F1">
        <w:trPr>
          <w:jc w:val="center"/>
        </w:trPr>
        <w:tc>
          <w:tcPr>
            <w:tcW w:w="1129" w:type="dxa"/>
          </w:tcPr>
          <w:p w14:paraId="1C62900C"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6</w:t>
            </w:r>
          </w:p>
        </w:tc>
        <w:tc>
          <w:tcPr>
            <w:tcW w:w="2268" w:type="dxa"/>
          </w:tcPr>
          <w:p w14:paraId="0C3CEFE8"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Antigüedad docente municipal en Chascomús</w:t>
            </w:r>
          </w:p>
        </w:tc>
        <w:tc>
          <w:tcPr>
            <w:tcW w:w="3402" w:type="dxa"/>
          </w:tcPr>
          <w:p w14:paraId="18CC5F11"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1 punto por ciclo computable en el nivel/modalidad pertinente.</w:t>
            </w:r>
          </w:p>
        </w:tc>
        <w:tc>
          <w:tcPr>
            <w:tcW w:w="1695" w:type="dxa"/>
          </w:tcPr>
          <w:p w14:paraId="7367C319"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10,00</w:t>
            </w:r>
          </w:p>
        </w:tc>
      </w:tr>
      <w:tr w:rsidR="002B24F1" w:rsidRPr="002B24F1" w14:paraId="59AE4B6C" w14:textId="77777777" w:rsidTr="002B24F1">
        <w:trPr>
          <w:jc w:val="center"/>
        </w:trPr>
        <w:tc>
          <w:tcPr>
            <w:tcW w:w="1129" w:type="dxa"/>
          </w:tcPr>
          <w:p w14:paraId="20412857"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7</w:t>
            </w:r>
          </w:p>
        </w:tc>
        <w:tc>
          <w:tcPr>
            <w:tcW w:w="2268" w:type="dxa"/>
          </w:tcPr>
          <w:p w14:paraId="7EB56226"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Titularidad inferior al equivalente a un cargo</w:t>
            </w:r>
          </w:p>
        </w:tc>
        <w:tc>
          <w:tcPr>
            <w:tcW w:w="3402" w:type="dxa"/>
          </w:tcPr>
          <w:p w14:paraId="0F835620"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10 puntos si no posee cargo titular o su carga titular es inferior al equivalente a un cargo según equivalencias provinciales; deja de computarse al alcanzar dicha equivalencia.</w:t>
            </w:r>
          </w:p>
        </w:tc>
        <w:tc>
          <w:tcPr>
            <w:tcW w:w="1695" w:type="dxa"/>
          </w:tcPr>
          <w:p w14:paraId="3C8BC917"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10,00</w:t>
            </w:r>
          </w:p>
        </w:tc>
      </w:tr>
      <w:tr w:rsidR="002B24F1" w:rsidRPr="002B24F1" w14:paraId="0297B880" w14:textId="77777777" w:rsidTr="002B24F1">
        <w:trPr>
          <w:jc w:val="center"/>
        </w:trPr>
        <w:tc>
          <w:tcPr>
            <w:tcW w:w="1129" w:type="dxa"/>
          </w:tcPr>
          <w:p w14:paraId="0E9066CC"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8</w:t>
            </w:r>
          </w:p>
        </w:tc>
        <w:tc>
          <w:tcPr>
            <w:tcW w:w="2268" w:type="dxa"/>
          </w:tcPr>
          <w:p w14:paraId="54C45D8D"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Calificaciones</w:t>
            </w:r>
            <w:proofErr w:type="spellEnd"/>
          </w:p>
        </w:tc>
        <w:tc>
          <w:tcPr>
            <w:tcW w:w="3402" w:type="dxa"/>
          </w:tcPr>
          <w:p w14:paraId="0C45C1F8"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lang w:val="es-ES"/>
              </w:rPr>
              <w:t xml:space="preserve">Se consideran los dos últimos ciclos efectivamente calificados: 9,51–10 = 1; 8–9,50 = 0,50; 6–7,99 = 0,10 por ciclo. </w:t>
            </w:r>
            <w:r w:rsidRPr="002B24F1">
              <w:rPr>
                <w:rFonts w:ascii="Arial" w:hAnsi="Arial" w:cs="Times New Roman"/>
                <w:sz w:val="21"/>
              </w:rPr>
              <w:t xml:space="preserve">La </w:t>
            </w:r>
            <w:proofErr w:type="spellStart"/>
            <w:r w:rsidRPr="002B24F1">
              <w:rPr>
                <w:rFonts w:ascii="Arial" w:hAnsi="Arial" w:cs="Times New Roman"/>
                <w:sz w:val="21"/>
              </w:rPr>
              <w:t>falta</w:t>
            </w:r>
            <w:proofErr w:type="spellEnd"/>
            <w:r w:rsidRPr="002B24F1">
              <w:rPr>
                <w:rFonts w:ascii="Arial" w:hAnsi="Arial" w:cs="Times New Roman"/>
                <w:sz w:val="21"/>
              </w:rPr>
              <w:t xml:space="preserve"> de </w:t>
            </w:r>
            <w:proofErr w:type="spellStart"/>
            <w:r w:rsidRPr="002B24F1">
              <w:rPr>
                <w:rFonts w:ascii="Arial" w:hAnsi="Arial" w:cs="Times New Roman"/>
                <w:sz w:val="21"/>
              </w:rPr>
              <w:t>calificación</w:t>
            </w:r>
            <w:proofErr w:type="spellEnd"/>
            <w:r w:rsidRPr="002B24F1">
              <w:rPr>
                <w:rFonts w:ascii="Arial" w:hAnsi="Arial" w:cs="Times New Roman"/>
                <w:sz w:val="21"/>
              </w:rPr>
              <w:t xml:space="preserve"> no </w:t>
            </w:r>
            <w:proofErr w:type="spellStart"/>
            <w:r w:rsidRPr="002B24F1">
              <w:rPr>
                <w:rFonts w:ascii="Arial" w:hAnsi="Arial" w:cs="Times New Roman"/>
                <w:sz w:val="21"/>
              </w:rPr>
              <w:t>bloquea</w:t>
            </w:r>
            <w:proofErr w:type="spellEnd"/>
            <w:r w:rsidRPr="002B24F1">
              <w:rPr>
                <w:rFonts w:ascii="Arial" w:hAnsi="Arial" w:cs="Times New Roman"/>
                <w:sz w:val="21"/>
              </w:rPr>
              <w:t xml:space="preserve"> la </w:t>
            </w:r>
            <w:proofErr w:type="spellStart"/>
            <w:r w:rsidRPr="002B24F1">
              <w:rPr>
                <w:rFonts w:ascii="Arial" w:hAnsi="Arial" w:cs="Times New Roman"/>
                <w:sz w:val="21"/>
              </w:rPr>
              <w:t>inscripción</w:t>
            </w:r>
            <w:proofErr w:type="spellEnd"/>
            <w:r w:rsidRPr="002B24F1">
              <w:rPr>
                <w:rFonts w:ascii="Arial" w:hAnsi="Arial" w:cs="Times New Roman"/>
                <w:sz w:val="21"/>
              </w:rPr>
              <w:t>.</w:t>
            </w:r>
          </w:p>
        </w:tc>
        <w:tc>
          <w:tcPr>
            <w:tcW w:w="1695" w:type="dxa"/>
          </w:tcPr>
          <w:p w14:paraId="6B2EEF1A"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2,00</w:t>
            </w:r>
          </w:p>
        </w:tc>
      </w:tr>
      <w:tr w:rsidR="002B24F1" w:rsidRPr="002B24F1" w14:paraId="0A851CAD" w14:textId="77777777" w:rsidTr="002B24F1">
        <w:trPr>
          <w:jc w:val="center"/>
        </w:trPr>
        <w:tc>
          <w:tcPr>
            <w:tcW w:w="1129" w:type="dxa"/>
          </w:tcPr>
          <w:p w14:paraId="118DCA50"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9</w:t>
            </w:r>
          </w:p>
        </w:tc>
        <w:tc>
          <w:tcPr>
            <w:tcW w:w="2268" w:type="dxa"/>
          </w:tcPr>
          <w:p w14:paraId="0797214E"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Bonificantes</w:t>
            </w:r>
            <w:proofErr w:type="spellEnd"/>
          </w:p>
        </w:tc>
        <w:tc>
          <w:tcPr>
            <w:tcW w:w="3402" w:type="dxa"/>
          </w:tcPr>
          <w:p w14:paraId="4BE56754"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Según</w:t>
            </w:r>
            <w:proofErr w:type="spellEnd"/>
            <w:r w:rsidRPr="002B24F1">
              <w:rPr>
                <w:rFonts w:ascii="Arial" w:hAnsi="Arial" w:cs="Times New Roman"/>
                <w:sz w:val="21"/>
              </w:rPr>
              <w:t xml:space="preserve"> </w:t>
            </w:r>
            <w:proofErr w:type="spellStart"/>
            <w:r w:rsidRPr="002B24F1">
              <w:rPr>
                <w:rFonts w:ascii="Arial" w:hAnsi="Arial" w:cs="Times New Roman"/>
                <w:sz w:val="21"/>
              </w:rPr>
              <w:t>nomenclátor</w:t>
            </w:r>
            <w:proofErr w:type="spellEnd"/>
            <w:r w:rsidRPr="002B24F1">
              <w:rPr>
                <w:rFonts w:ascii="Arial" w:hAnsi="Arial" w:cs="Times New Roman"/>
                <w:sz w:val="21"/>
              </w:rPr>
              <w:t xml:space="preserve"> provincial.</w:t>
            </w:r>
          </w:p>
        </w:tc>
        <w:tc>
          <w:tcPr>
            <w:tcW w:w="1695" w:type="dxa"/>
          </w:tcPr>
          <w:p w14:paraId="3AB9F1FC"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10,00</w:t>
            </w:r>
          </w:p>
        </w:tc>
      </w:tr>
      <w:tr w:rsidR="002B24F1" w:rsidRPr="002B24F1" w14:paraId="16F512C8" w14:textId="77777777" w:rsidTr="002B24F1">
        <w:trPr>
          <w:jc w:val="center"/>
        </w:trPr>
        <w:tc>
          <w:tcPr>
            <w:tcW w:w="1129" w:type="dxa"/>
          </w:tcPr>
          <w:p w14:paraId="2FA9E14E"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10</w:t>
            </w:r>
          </w:p>
        </w:tc>
        <w:tc>
          <w:tcPr>
            <w:tcW w:w="2268" w:type="dxa"/>
          </w:tcPr>
          <w:p w14:paraId="2335399D" w14:textId="77777777" w:rsidR="002B24F1" w:rsidRPr="002B24F1" w:rsidRDefault="002B24F1" w:rsidP="002B24F1">
            <w:pPr>
              <w:spacing w:after="200" w:line="276" w:lineRule="auto"/>
              <w:jc w:val="both"/>
              <w:rPr>
                <w:rFonts w:ascii="Arial" w:hAnsi="Arial" w:cs="Times New Roman"/>
                <w:sz w:val="21"/>
              </w:rPr>
            </w:pPr>
            <w:proofErr w:type="spellStart"/>
            <w:r w:rsidRPr="002B24F1">
              <w:rPr>
                <w:rFonts w:ascii="Arial" w:hAnsi="Arial" w:cs="Times New Roman"/>
                <w:sz w:val="21"/>
              </w:rPr>
              <w:t>Residencia</w:t>
            </w:r>
            <w:proofErr w:type="spellEnd"/>
            <w:r w:rsidRPr="002B24F1">
              <w:rPr>
                <w:rFonts w:ascii="Arial" w:hAnsi="Arial" w:cs="Times New Roman"/>
                <w:sz w:val="21"/>
              </w:rPr>
              <w:t xml:space="preserve"> </w:t>
            </w:r>
            <w:proofErr w:type="spellStart"/>
            <w:r w:rsidRPr="002B24F1">
              <w:rPr>
                <w:rFonts w:ascii="Arial" w:hAnsi="Arial" w:cs="Times New Roman"/>
                <w:sz w:val="21"/>
              </w:rPr>
              <w:t>en</w:t>
            </w:r>
            <w:proofErr w:type="spellEnd"/>
            <w:r w:rsidRPr="002B24F1">
              <w:rPr>
                <w:rFonts w:ascii="Arial" w:hAnsi="Arial" w:cs="Times New Roman"/>
                <w:sz w:val="21"/>
              </w:rPr>
              <w:t xml:space="preserve"> Chascomús</w:t>
            </w:r>
          </w:p>
        </w:tc>
        <w:tc>
          <w:tcPr>
            <w:tcW w:w="3402" w:type="dxa"/>
          </w:tcPr>
          <w:p w14:paraId="4BF0126D" w14:textId="77777777" w:rsidR="002B24F1" w:rsidRPr="002B24F1" w:rsidRDefault="002B24F1" w:rsidP="002B24F1">
            <w:pPr>
              <w:spacing w:after="200" w:line="276" w:lineRule="auto"/>
              <w:jc w:val="both"/>
              <w:rPr>
                <w:rFonts w:ascii="Arial" w:hAnsi="Arial" w:cs="Times New Roman"/>
                <w:sz w:val="21"/>
                <w:lang w:val="es-ES"/>
              </w:rPr>
            </w:pPr>
            <w:r w:rsidRPr="002B24F1">
              <w:rPr>
                <w:rFonts w:ascii="Arial" w:hAnsi="Arial" w:cs="Times New Roman"/>
                <w:sz w:val="21"/>
                <w:lang w:val="es-ES"/>
              </w:rPr>
              <w:t>Domicilio real acreditado durante al menos un año anterior al cierre de inscripción.</w:t>
            </w:r>
          </w:p>
        </w:tc>
        <w:tc>
          <w:tcPr>
            <w:tcW w:w="1695" w:type="dxa"/>
          </w:tcPr>
          <w:p w14:paraId="53FFC9FF" w14:textId="77777777" w:rsidR="002B24F1" w:rsidRPr="002B24F1" w:rsidRDefault="002B24F1" w:rsidP="002B24F1">
            <w:pPr>
              <w:spacing w:after="200" w:line="276" w:lineRule="auto"/>
              <w:jc w:val="both"/>
              <w:rPr>
                <w:rFonts w:ascii="Arial" w:hAnsi="Arial" w:cs="Times New Roman"/>
                <w:sz w:val="21"/>
              </w:rPr>
            </w:pPr>
            <w:r w:rsidRPr="002B24F1">
              <w:rPr>
                <w:rFonts w:ascii="Arial" w:hAnsi="Arial" w:cs="Times New Roman"/>
                <w:sz w:val="21"/>
              </w:rPr>
              <w:t>5,00</w:t>
            </w:r>
          </w:p>
        </w:tc>
      </w:tr>
    </w:tbl>
    <w:p w14:paraId="52DE3FA6"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Fórmula: PID = suma directa de todos los componentes aplicables.</w:t>
      </w:r>
    </w:p>
    <w:p w14:paraId="333C979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Cuando existan varias calificaciones en un mismo ciclo, se computará la más favorable correspondiente al desempeño pertinente.</w:t>
      </w:r>
    </w:p>
    <w:p w14:paraId="3690AFAF"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La planilla deberá identificar, como mínimo: aspirante, cargo/área/asignatura, título e incumbencia, valores de cada componente, total, listado de origen y constancia de notificación.</w:t>
      </w:r>
      <w:r w:rsidRPr="002B24F1">
        <w:rPr>
          <w:rFonts w:ascii="Arial" w:eastAsia="MS Mincho" w:hAnsi="Arial" w:cs="Times New Roman"/>
          <w:kern w:val="0"/>
          <w:sz w:val="21"/>
          <w:lang w:val="es-ES"/>
          <w14:ligatures w14:val="none"/>
        </w:rPr>
        <w:br w:type="page"/>
      </w:r>
    </w:p>
    <w:p w14:paraId="67B0A403"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lastRenderedPageBreak/>
        <w:t>ANEXO IV — CONCURSOS DE ASCENSO</w:t>
      </w:r>
    </w:p>
    <w:p w14:paraId="7E91065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1. Finalidad. El presente Anexo establece la valoración uniforme para los concursos de Equipo Directivo y Secretaría.</w:t>
      </w:r>
    </w:p>
    <w:p w14:paraId="1CAC3B9A"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2. Puntaje final. El resultado se integrará en una escala de cero (0) a diez (10) puntos, con un mínimo de siete (7) para integrar el orden de mérito.</w:t>
      </w:r>
    </w:p>
    <w:p w14:paraId="16774542"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3. Ponderación general: títulos y antecedentes, treinta por ciento (30%); oposición, setenta por ciento (70%).</w:t>
      </w:r>
    </w:p>
    <w:p w14:paraId="78A8C54C"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4. Equipo Directivo. La oposición se integrará por: prueba escrita 40% de la oposición; informe escrito sobre situación vinculada a la función directiva 30%; coloquio 30%. Cada instancia deberá aprobarse individualmente con al menos siete (7) puntos.</w:t>
      </w:r>
    </w:p>
    <w:p w14:paraId="7DA5EA05"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5. Secretaría. La oposición se integrará por: prueba escrita 60% de la oposición; coloquio 40%. Cada instancia deberá aprobarse individualmente con al menos siete (7) puntos.</w:t>
      </w:r>
    </w:p>
    <w:p w14:paraId="610FB3EE"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6. Títulos y antecedentes. El Tribunal de Clasificación confeccionará la valoración previa sobre: PAD pertinente; antigüedad docente municipal; antigüedad en el nivel/modalidad; desempeño jerárquico pertinente; títulos, </w:t>
      </w:r>
      <w:proofErr w:type="spellStart"/>
      <w:r w:rsidRPr="002B24F1">
        <w:rPr>
          <w:rFonts w:ascii="Arial" w:eastAsia="MS Mincho" w:hAnsi="Arial" w:cs="Times New Roman"/>
          <w:kern w:val="0"/>
          <w:sz w:val="21"/>
          <w:lang w:val="es-ES"/>
          <w14:ligatures w14:val="none"/>
        </w:rPr>
        <w:t>postítulos</w:t>
      </w:r>
      <w:proofErr w:type="spellEnd"/>
      <w:r w:rsidRPr="002B24F1">
        <w:rPr>
          <w:rFonts w:ascii="Arial" w:eastAsia="MS Mincho" w:hAnsi="Arial" w:cs="Times New Roman"/>
          <w:kern w:val="0"/>
          <w:sz w:val="21"/>
          <w:lang w:val="es-ES"/>
          <w14:ligatures w14:val="none"/>
        </w:rPr>
        <w:t xml:space="preserve"> y antecedentes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xml:space="preserve"> reconocidos por el nomenclátor provincial. La convocatoria publicará la tabla de conversión a la escala de cero (0) a diez (10).</w:t>
      </w:r>
    </w:p>
    <w:p w14:paraId="3276A3E1"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7. Fórmula. Puntaje final = (puntaje de títulos y antecedentes × 0,30) + (puntaje de oposición × 0,70).</w:t>
      </w:r>
    </w:p>
    <w:p w14:paraId="0C79B03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8. Desempate. En caso de igualdad se aplicará, sucesivamente: a) mayor puntaje de oposición; b) mayor puntaje en la prueba escrita; c) mayor PAD pertinente; d) mayor antigüedad docente municipal; e) sorteo público documentado.</w:t>
      </w:r>
    </w:p>
    <w:p w14:paraId="336A7178"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9. El Jurado labrará acta de cada instancia y fundará las calificaciones. Los concursantes tendrán acceso a sus producciones, actas y planillas y podrán interponer los recursos previstos en el Estatuto.</w:t>
      </w:r>
    </w:p>
    <w:p w14:paraId="158FDE9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br w:type="page"/>
      </w:r>
    </w:p>
    <w:p w14:paraId="4B5BF497" w14:textId="77777777" w:rsidR="002B24F1" w:rsidRPr="002B24F1" w:rsidRDefault="002B24F1" w:rsidP="002B24F1">
      <w:pPr>
        <w:keepNext/>
        <w:keepLines/>
        <w:spacing w:before="480" w:after="0" w:line="276" w:lineRule="auto"/>
        <w:jc w:val="both"/>
        <w:outlineLvl w:val="0"/>
        <w:rPr>
          <w:rFonts w:ascii="Calibri" w:eastAsia="MS Gothic" w:hAnsi="Calibri" w:cs="Times New Roman"/>
          <w:b/>
          <w:bCs/>
          <w:kern w:val="0"/>
          <w:sz w:val="28"/>
          <w:szCs w:val="28"/>
          <w:lang w:val="es-ES"/>
          <w14:ligatures w14:val="none"/>
        </w:rPr>
      </w:pPr>
      <w:r w:rsidRPr="002B24F1">
        <w:rPr>
          <w:rFonts w:ascii="Calibri" w:eastAsia="MS Gothic" w:hAnsi="Calibri" w:cs="Times New Roman"/>
          <w:b/>
          <w:bCs/>
          <w:kern w:val="0"/>
          <w:sz w:val="28"/>
          <w:szCs w:val="28"/>
          <w:lang w:val="es-ES"/>
          <w14:ligatures w14:val="none"/>
        </w:rPr>
        <w:lastRenderedPageBreak/>
        <w:t>ANEXO V — PLANILLAS MÍNIMAS DE REGISTRO</w:t>
      </w:r>
    </w:p>
    <w:p w14:paraId="21C3309B"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A. PAD: Legajo; Apellido y Nombre; Cargo/Asignatura; Título habilitante;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Desempeño jerárquico; Antigüedad; Calificación; Puntaje total; Notificación.</w:t>
      </w:r>
    </w:p>
    <w:p w14:paraId="582C656D"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 xml:space="preserve">B. PID: Documento/Legajo; Apellido y Nombre; Cargo/Área/Asignatura; Título; Antigüedad del título; Promedio; Antigüedad nivel/modalidad; Antigüedad ítem; Antigüedad municipal; Titularidad inferior a cargo; Calificaciones; </w:t>
      </w:r>
      <w:proofErr w:type="spellStart"/>
      <w:r w:rsidRPr="002B24F1">
        <w:rPr>
          <w:rFonts w:ascii="Arial" w:eastAsia="MS Mincho" w:hAnsi="Arial" w:cs="Times New Roman"/>
          <w:kern w:val="0"/>
          <w:sz w:val="21"/>
          <w:lang w:val="es-ES"/>
          <w14:ligatures w14:val="none"/>
        </w:rPr>
        <w:t>Bonificantes</w:t>
      </w:r>
      <w:proofErr w:type="spellEnd"/>
      <w:r w:rsidRPr="002B24F1">
        <w:rPr>
          <w:rFonts w:ascii="Arial" w:eastAsia="MS Mincho" w:hAnsi="Arial" w:cs="Times New Roman"/>
          <w:kern w:val="0"/>
          <w:sz w:val="21"/>
          <w:lang w:val="es-ES"/>
          <w14:ligatures w14:val="none"/>
        </w:rPr>
        <w:t>; Residencia; Total; Notificación.</w:t>
      </w:r>
    </w:p>
    <w:p w14:paraId="3A3BEC80" w14:textId="77777777" w:rsidR="002B24F1" w:rsidRPr="002B24F1" w:rsidRDefault="002B24F1" w:rsidP="002B24F1">
      <w:pPr>
        <w:spacing w:after="200" w:line="276" w:lineRule="auto"/>
        <w:jc w:val="both"/>
        <w:rPr>
          <w:rFonts w:ascii="Arial" w:eastAsia="MS Mincho" w:hAnsi="Arial" w:cs="Times New Roman"/>
          <w:kern w:val="0"/>
          <w:sz w:val="21"/>
          <w:lang w:val="es-ES"/>
          <w14:ligatures w14:val="none"/>
        </w:rPr>
      </w:pPr>
      <w:r w:rsidRPr="002B24F1">
        <w:rPr>
          <w:rFonts w:ascii="Arial" w:eastAsia="MS Mincho" w:hAnsi="Arial" w:cs="Times New Roman"/>
          <w:kern w:val="0"/>
          <w:sz w:val="21"/>
          <w:lang w:val="es-ES"/>
          <w14:ligatures w14:val="none"/>
        </w:rPr>
        <w:t>C. Concursos: Aspirante; requisitos de admisibilidad; títulos y antecedentes; calificación de cada instancia de oposición; ponderación; puntaje final; orden de mérito; notificación.</w:t>
      </w:r>
    </w:p>
    <w:p w14:paraId="18053F86" w14:textId="0C4DD935" w:rsidR="0085793C" w:rsidRPr="002B24F1" w:rsidRDefault="0085793C" w:rsidP="002B24F1">
      <w:pPr>
        <w:rPr>
          <w:lang w:val="es-ES"/>
        </w:rPr>
      </w:pPr>
    </w:p>
    <w:sectPr w:rsidR="0085793C" w:rsidRPr="002B24F1" w:rsidSect="0048151B">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FD71A3" w14:textId="77777777" w:rsidR="008C2DCD" w:rsidRDefault="008C2DCD" w:rsidP="0048151B">
      <w:pPr>
        <w:spacing w:after="0" w:line="240" w:lineRule="auto"/>
      </w:pPr>
      <w:r>
        <w:separator/>
      </w:r>
    </w:p>
  </w:endnote>
  <w:endnote w:type="continuationSeparator" w:id="0">
    <w:p w14:paraId="184BFAB7" w14:textId="77777777" w:rsidR="008C2DCD" w:rsidRDefault="008C2DCD" w:rsidP="0048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4980B" w14:textId="77777777" w:rsidR="008C2DCD" w:rsidRDefault="008C2DCD" w:rsidP="0048151B">
      <w:pPr>
        <w:spacing w:after="0" w:line="240" w:lineRule="auto"/>
      </w:pPr>
      <w:r>
        <w:separator/>
      </w:r>
    </w:p>
  </w:footnote>
  <w:footnote w:type="continuationSeparator" w:id="0">
    <w:p w14:paraId="73694068" w14:textId="77777777" w:rsidR="008C2DCD" w:rsidRDefault="008C2DCD" w:rsidP="00481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F3C14" w14:textId="77777777" w:rsidR="0048151B" w:rsidRPr="0048151B" w:rsidRDefault="0048151B" w:rsidP="0048151B">
    <w:pPr>
      <w:spacing w:after="0" w:line="240" w:lineRule="auto"/>
      <w:ind w:left="170"/>
      <w:jc w:val="center"/>
      <w:rPr>
        <w:rFonts w:ascii="Footlight MT Light" w:eastAsia="Times New Roman" w:hAnsi="Footlight MT Light" w:cs="Times New Roman"/>
        <w:color w:val="000000"/>
        <w:kern w:val="0"/>
        <w:sz w:val="20"/>
        <w:szCs w:val="20"/>
        <w:lang w:eastAsia="es-ES"/>
        <w14:ligatures w14:val="none"/>
      </w:rPr>
    </w:pPr>
    <w:r w:rsidRPr="0048151B">
      <w:rPr>
        <w:rFonts w:ascii="Footlight MT Light" w:eastAsia="Times New Roman" w:hAnsi="Footlight MT Light" w:cs="Times New Roman"/>
        <w:noProof/>
        <w:color w:val="000000"/>
        <w:kern w:val="0"/>
        <w:sz w:val="20"/>
        <w:szCs w:val="20"/>
        <w:lang w:val="en-US"/>
        <w14:ligatures w14:val="none"/>
      </w:rPr>
      <w:drawing>
        <wp:inline distT="0" distB="0" distL="0" distR="0" wp14:anchorId="0DA3659B" wp14:editId="507D945E">
          <wp:extent cx="695325" cy="600075"/>
          <wp:effectExtent l="0" t="0" r="9525" b="9525"/>
          <wp:docPr id="3" name="Imagen 3"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8907C7F" w14:textId="77777777" w:rsidR="0048151B" w:rsidRPr="0048151B" w:rsidRDefault="0048151B" w:rsidP="0048151B">
    <w:pPr>
      <w:keepNext/>
      <w:spacing w:after="0" w:line="240" w:lineRule="auto"/>
      <w:ind w:left="170"/>
      <w:jc w:val="center"/>
      <w:outlineLvl w:val="0"/>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Honorable Concejo Deliberante</w:t>
    </w:r>
  </w:p>
  <w:p w14:paraId="7A04D492" w14:textId="77777777" w:rsidR="0048151B" w:rsidRPr="0048151B" w:rsidRDefault="0048151B" w:rsidP="0048151B">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Mitre 38    -    Chascomús</w:t>
    </w:r>
  </w:p>
  <w:p w14:paraId="265BED56" w14:textId="77777777" w:rsidR="0048151B" w:rsidRPr="0048151B" w:rsidRDefault="0048151B" w:rsidP="0048151B">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48151B">
      <w:rPr>
        <w:rFonts w:ascii="Times New Roman" w:eastAsia="Times New Roman" w:hAnsi="Times New Roman" w:cs="Times New Roman"/>
        <w:b/>
        <w:bCs/>
        <w:color w:val="000000"/>
        <w:kern w:val="0"/>
        <w:lang w:eastAsia="es-ES"/>
        <w14:ligatures w14:val="none"/>
      </w:rPr>
      <w:t>Bloque UXCH / UXCH-FUERZA PATRIA</w:t>
    </w:r>
  </w:p>
  <w:p w14:paraId="2FACBF4E" w14:textId="77777777" w:rsidR="0048151B" w:rsidRPr="0048151B" w:rsidRDefault="0048151B" w:rsidP="0048151B">
    <w:pPr>
      <w:spacing w:after="0" w:line="240" w:lineRule="auto"/>
      <w:ind w:left="170"/>
      <w:jc w:val="center"/>
      <w:rPr>
        <w:rFonts w:ascii="Times New Roman" w:eastAsia="Times New Roman" w:hAnsi="Times New Roman" w:cs="Times New Roman"/>
        <w:b/>
        <w:kern w:val="0"/>
        <w:sz w:val="24"/>
        <w:szCs w:val="24"/>
        <w:lang w:val="es-ES_tradnl"/>
        <w14:ligatures w14:val="none"/>
      </w:rPr>
    </w:pPr>
    <w:r w:rsidRPr="0048151B">
      <w:rPr>
        <w:rFonts w:ascii="Times New Roman" w:eastAsia="Times New Roman" w:hAnsi="Times New Roman" w:cs="Times New Roman"/>
        <w:b/>
        <w:bCs/>
        <w:color w:val="000000"/>
        <w:kern w:val="0"/>
        <w:lang w:eastAsia="es-ES"/>
        <w14:ligatures w14:val="none"/>
      </w:rPr>
      <w:t xml:space="preserve"> “</w:t>
    </w:r>
    <w:r w:rsidRPr="0048151B">
      <w:rPr>
        <w:rFonts w:ascii="Times New Roman" w:eastAsia="Calibri" w:hAnsi="Times New Roman" w:cs="Times New Roman"/>
        <w:b/>
        <w:kern w:val="0"/>
        <w:lang w:val="es-ES"/>
        <w14:ligatures w14:val="none"/>
      </w:rPr>
      <w:t>2026: Año del 200° Aniversario de la Escuela Primaria N° 1 “Bernardino Rivadavia”</w:t>
    </w:r>
  </w:p>
  <w:p w14:paraId="1133DC9E" w14:textId="77777777" w:rsidR="0048151B" w:rsidRPr="0048151B" w:rsidRDefault="0048151B" w:rsidP="0048151B">
    <w:pPr>
      <w:spacing w:after="0" w:line="240" w:lineRule="auto"/>
      <w:ind w:left="170"/>
      <w:rPr>
        <w:rFonts w:ascii="Times New Roman" w:eastAsia="Times New Roman" w:hAnsi="Times New Roman" w:cs="Times New Roman"/>
        <w:kern w:val="0"/>
        <w:sz w:val="20"/>
        <w:szCs w:val="20"/>
        <w:lang w:val="es-ES_tradnl" w:eastAsia="es-ES"/>
        <w14:ligatures w14:val="none"/>
      </w:rPr>
    </w:pPr>
  </w:p>
  <w:p w14:paraId="67FBFCE2" w14:textId="77777777" w:rsidR="0048151B" w:rsidRPr="0048151B" w:rsidRDefault="0048151B">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ED"/>
    <w:rsid w:val="00080844"/>
    <w:rsid w:val="002B24F1"/>
    <w:rsid w:val="003C68ED"/>
    <w:rsid w:val="004762D0"/>
    <w:rsid w:val="0048151B"/>
    <w:rsid w:val="004A56E1"/>
    <w:rsid w:val="006D67E3"/>
    <w:rsid w:val="0085793C"/>
    <w:rsid w:val="00876D05"/>
    <w:rsid w:val="008C2DCD"/>
    <w:rsid w:val="00A51682"/>
    <w:rsid w:val="00B4558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CC0D2"/>
  <w15:chartTrackingRefBased/>
  <w15:docId w15:val="{8DF96067-A8B4-47F3-9B9C-47D1E1950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C68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C68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C68E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C68E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C68E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C68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68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68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68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68E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C68E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C68E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C68E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C68E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C68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68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68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68ED"/>
    <w:rPr>
      <w:rFonts w:eastAsiaTheme="majorEastAsia" w:cstheme="majorBidi"/>
      <w:color w:val="272727" w:themeColor="text1" w:themeTint="D8"/>
    </w:rPr>
  </w:style>
  <w:style w:type="paragraph" w:styleId="Ttulo">
    <w:name w:val="Title"/>
    <w:basedOn w:val="Normal"/>
    <w:next w:val="Normal"/>
    <w:link w:val="TtuloCar"/>
    <w:uiPriority w:val="10"/>
    <w:qFormat/>
    <w:rsid w:val="003C6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68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68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68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68ED"/>
    <w:pPr>
      <w:spacing w:before="160"/>
      <w:jc w:val="center"/>
    </w:pPr>
    <w:rPr>
      <w:i/>
      <w:iCs/>
      <w:color w:val="404040" w:themeColor="text1" w:themeTint="BF"/>
    </w:rPr>
  </w:style>
  <w:style w:type="character" w:customStyle="1" w:styleId="CitaCar">
    <w:name w:val="Cita Car"/>
    <w:basedOn w:val="Fuentedeprrafopredeter"/>
    <w:link w:val="Cita"/>
    <w:uiPriority w:val="29"/>
    <w:rsid w:val="003C68ED"/>
    <w:rPr>
      <w:i/>
      <w:iCs/>
      <w:color w:val="404040" w:themeColor="text1" w:themeTint="BF"/>
    </w:rPr>
  </w:style>
  <w:style w:type="paragraph" w:styleId="Prrafodelista">
    <w:name w:val="List Paragraph"/>
    <w:basedOn w:val="Normal"/>
    <w:uiPriority w:val="34"/>
    <w:qFormat/>
    <w:rsid w:val="003C68ED"/>
    <w:pPr>
      <w:ind w:left="720"/>
      <w:contextualSpacing/>
    </w:pPr>
  </w:style>
  <w:style w:type="character" w:styleId="nfasisintenso">
    <w:name w:val="Intense Emphasis"/>
    <w:basedOn w:val="Fuentedeprrafopredeter"/>
    <w:uiPriority w:val="21"/>
    <w:qFormat/>
    <w:rsid w:val="003C68ED"/>
    <w:rPr>
      <w:i/>
      <w:iCs/>
      <w:color w:val="2F5496" w:themeColor="accent1" w:themeShade="BF"/>
    </w:rPr>
  </w:style>
  <w:style w:type="paragraph" w:styleId="Citadestacada">
    <w:name w:val="Intense Quote"/>
    <w:basedOn w:val="Normal"/>
    <w:next w:val="Normal"/>
    <w:link w:val="CitadestacadaCar"/>
    <w:uiPriority w:val="30"/>
    <w:qFormat/>
    <w:rsid w:val="003C68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C68ED"/>
    <w:rPr>
      <w:i/>
      <w:iCs/>
      <w:color w:val="2F5496" w:themeColor="accent1" w:themeShade="BF"/>
    </w:rPr>
  </w:style>
  <w:style w:type="character" w:styleId="Referenciaintensa">
    <w:name w:val="Intense Reference"/>
    <w:basedOn w:val="Fuentedeprrafopredeter"/>
    <w:uiPriority w:val="32"/>
    <w:qFormat/>
    <w:rsid w:val="003C68ED"/>
    <w:rPr>
      <w:b/>
      <w:bCs/>
      <w:smallCaps/>
      <w:color w:val="2F5496" w:themeColor="accent1" w:themeShade="BF"/>
      <w:spacing w:val="5"/>
    </w:rPr>
  </w:style>
  <w:style w:type="paragraph" w:styleId="Encabezado">
    <w:name w:val="header"/>
    <w:basedOn w:val="Normal"/>
    <w:link w:val="EncabezadoCar"/>
    <w:uiPriority w:val="99"/>
    <w:unhideWhenUsed/>
    <w:rsid w:val="004815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151B"/>
  </w:style>
  <w:style w:type="paragraph" w:styleId="Piedepgina">
    <w:name w:val="footer"/>
    <w:basedOn w:val="Normal"/>
    <w:link w:val="PiedepginaCar"/>
    <w:uiPriority w:val="99"/>
    <w:unhideWhenUsed/>
    <w:rsid w:val="004815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151B"/>
  </w:style>
  <w:style w:type="table" w:customStyle="1" w:styleId="Tablaconcuadrcula1">
    <w:name w:val="Tabla con cuadrícula1"/>
    <w:basedOn w:val="Tablanormal"/>
    <w:next w:val="Tablaconcuadrcula"/>
    <w:uiPriority w:val="59"/>
    <w:rsid w:val="002B24F1"/>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B2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B24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4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21</Pages>
  <Words>8134</Words>
  <Characters>46369</Characters>
  <Application>Microsoft Office Word</Application>
  <DocSecurity>0</DocSecurity>
  <Lines>386</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lucioalfonsin@gmail.com</dc:creator>
  <cp:keywords/>
  <dc:description/>
  <cp:lastModifiedBy>SIMM</cp:lastModifiedBy>
  <cp:revision>1</cp:revision>
  <cp:lastPrinted>2026-09-22T14:49:00Z</cp:lastPrinted>
  <dcterms:created xsi:type="dcterms:W3CDTF">2026-09-21T13:10:00Z</dcterms:created>
  <dcterms:modified xsi:type="dcterms:W3CDTF">2026-09-22T14:50:00Z</dcterms:modified>
</cp:coreProperties>
</file>