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2993BCF9" w:rsidR="00A97D8A" w:rsidRPr="002E4449" w:rsidRDefault="00A97D8A" w:rsidP="00CD5BBE">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CD5BBE">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CD5BBE">
      <w:pPr>
        <w:spacing w:line="360" w:lineRule="auto"/>
        <w:jc w:val="both"/>
        <w:rPr>
          <w:b/>
          <w:bCs/>
        </w:rPr>
      </w:pPr>
      <w:r w:rsidRPr="002E4449">
        <w:rPr>
          <w:b/>
          <w:bCs/>
        </w:rPr>
        <w:t>Sr. Presidente del</w:t>
      </w:r>
    </w:p>
    <w:p w14:paraId="179DD138" w14:textId="77777777" w:rsidR="00A97D8A" w:rsidRPr="002E4449" w:rsidRDefault="00A97D8A" w:rsidP="00CD5BBE">
      <w:pPr>
        <w:spacing w:line="360" w:lineRule="auto"/>
        <w:jc w:val="both"/>
        <w:rPr>
          <w:b/>
          <w:bCs/>
        </w:rPr>
      </w:pPr>
      <w:r w:rsidRPr="002E4449">
        <w:rPr>
          <w:b/>
          <w:bCs/>
        </w:rPr>
        <w:t>Honorable Concejo Deliberante</w:t>
      </w:r>
    </w:p>
    <w:p w14:paraId="1C7002CD" w14:textId="6C6EDBCA" w:rsidR="00A97D8A" w:rsidRPr="002E4449" w:rsidRDefault="006461E5" w:rsidP="00CD5BBE">
      <w:pPr>
        <w:spacing w:line="360" w:lineRule="auto"/>
        <w:jc w:val="both"/>
        <w:rPr>
          <w:b/>
          <w:bCs/>
        </w:rPr>
      </w:pPr>
      <w:r>
        <w:rPr>
          <w:b/>
          <w:bCs/>
        </w:rPr>
        <w:t>Oscar Toledo Barzola</w:t>
      </w:r>
    </w:p>
    <w:p w14:paraId="10282175" w14:textId="1DFD265A" w:rsidR="008B661C" w:rsidRPr="002E4449" w:rsidRDefault="008B661C" w:rsidP="00CD5BBE">
      <w:pPr>
        <w:spacing w:line="360" w:lineRule="auto"/>
        <w:jc w:val="both"/>
        <w:rPr>
          <w:b/>
          <w:bCs/>
        </w:rPr>
      </w:pPr>
      <w:r w:rsidRPr="002E4449">
        <w:rPr>
          <w:b/>
          <w:bCs/>
        </w:rPr>
        <w:t>S/D</w:t>
      </w:r>
      <w:r w:rsidR="00CD5BBE">
        <w:rPr>
          <w:b/>
          <w:bCs/>
        </w:rPr>
        <w:t>:</w:t>
      </w:r>
    </w:p>
    <w:p w14:paraId="6E9834B5" w14:textId="77777777" w:rsidR="008B661C" w:rsidRPr="002E4449" w:rsidRDefault="008B661C" w:rsidP="00CD5BBE">
      <w:pPr>
        <w:spacing w:line="360" w:lineRule="auto"/>
        <w:jc w:val="both"/>
      </w:pPr>
    </w:p>
    <w:p w14:paraId="602AEE3A" w14:textId="77777777" w:rsidR="00A97D8A" w:rsidRPr="002E4449" w:rsidRDefault="00A97D8A" w:rsidP="00CD5BBE">
      <w:pPr>
        <w:spacing w:line="360" w:lineRule="auto"/>
        <w:jc w:val="both"/>
      </w:pPr>
      <w:r w:rsidRPr="002E4449">
        <w:t>De nuestra consideración:</w:t>
      </w:r>
    </w:p>
    <w:p w14:paraId="6A020541" w14:textId="77777777" w:rsidR="00A97D8A" w:rsidRPr="002E4449" w:rsidRDefault="00A97D8A" w:rsidP="00CD5BBE">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CD5BBE">
      <w:pPr>
        <w:spacing w:line="360" w:lineRule="auto"/>
        <w:jc w:val="both"/>
        <w:rPr>
          <w:b/>
          <w:bCs/>
          <w:u w:val="single"/>
        </w:rPr>
      </w:pPr>
    </w:p>
    <w:p w14:paraId="644273E9" w14:textId="7185A447" w:rsidR="00F44F91" w:rsidRPr="006E3127" w:rsidRDefault="000B6F94" w:rsidP="00CD5BBE">
      <w:pPr>
        <w:spacing w:line="360" w:lineRule="auto"/>
        <w:jc w:val="center"/>
        <w:rPr>
          <w:b/>
          <w:u w:val="single"/>
        </w:rPr>
      </w:pPr>
      <w:r w:rsidRPr="006E3127">
        <w:rPr>
          <w:b/>
          <w:u w:val="single"/>
        </w:rPr>
        <w:t xml:space="preserve">El HCD </w:t>
      </w:r>
      <w:r w:rsidR="00A70402" w:rsidRPr="006E3127">
        <w:rPr>
          <w:b/>
          <w:u w:val="single"/>
        </w:rPr>
        <w:t>s</w:t>
      </w:r>
      <w:r w:rsidR="00707C0E" w:rsidRPr="006E3127">
        <w:rPr>
          <w:b/>
          <w:u w:val="single"/>
        </w:rPr>
        <w:t>olicita se consideren medidas adicionales que morigeren aumentos del peaje Samborombón para vecinos de Chascomús</w:t>
      </w:r>
      <w:r w:rsidR="006E3127" w:rsidRPr="006E3127">
        <w:rPr>
          <w:b/>
          <w:u w:val="single"/>
        </w:rPr>
        <w:t>.-</w:t>
      </w:r>
    </w:p>
    <w:p w14:paraId="2C64B559" w14:textId="77777777" w:rsidR="0018576F" w:rsidRPr="002E4449" w:rsidRDefault="0018576F" w:rsidP="00CD5BBE">
      <w:pPr>
        <w:spacing w:line="360" w:lineRule="auto"/>
        <w:jc w:val="both"/>
        <w:rPr>
          <w:b/>
        </w:rPr>
      </w:pPr>
    </w:p>
    <w:p w14:paraId="68DE9E17" w14:textId="674DD3A9" w:rsidR="000B6F94" w:rsidRPr="000B6F94" w:rsidRDefault="00FF29F5" w:rsidP="00CD5BBE">
      <w:pPr>
        <w:spacing w:line="360" w:lineRule="auto"/>
        <w:jc w:val="both"/>
        <w:rPr>
          <w:b/>
          <w:lang w:val="es-ES_tradnl"/>
        </w:rPr>
      </w:pPr>
      <w:r w:rsidRPr="002E4449">
        <w:rPr>
          <w:b/>
          <w:lang w:val="es-ES_tradnl"/>
        </w:rPr>
        <w:t>Visto:</w:t>
      </w:r>
    </w:p>
    <w:p w14:paraId="23ED7E39" w14:textId="05307E1D" w:rsidR="00A70402" w:rsidRDefault="000B6F94" w:rsidP="00CD5BBE">
      <w:pPr>
        <w:spacing w:line="360" w:lineRule="auto"/>
        <w:jc w:val="both"/>
        <w:rPr>
          <w:lang w:val="es-AR"/>
        </w:rPr>
      </w:pPr>
      <w:r>
        <w:rPr>
          <w:lang w:val="es-AR"/>
        </w:rPr>
        <w:t xml:space="preserve">              </w:t>
      </w:r>
      <w:r w:rsidR="00707C0E" w:rsidRPr="00707C0E">
        <w:rPr>
          <w:lang w:val="es-AR"/>
        </w:rPr>
        <w:t>El reciente incremento de las tarifas de peaje aplicadas en el Sistema Vial Integrado del Atlántico, autorizado por la Resolución Nº 185/2026 del Ministerio de Infraestructura y Servicios Públicos de la Provincia de Buenos Aires, y la preocupación generada en nuestra comunidad por el impacto que ello produce sobre el transporte de pasajeros, de carga y sobre la economía cotidiana de los vecinos de Chascomús; y</w:t>
      </w:r>
    </w:p>
    <w:p w14:paraId="3062C580" w14:textId="77777777" w:rsidR="00707C0E" w:rsidRPr="002E4449" w:rsidRDefault="00707C0E" w:rsidP="00CD5BBE">
      <w:pPr>
        <w:spacing w:line="360" w:lineRule="auto"/>
        <w:jc w:val="both"/>
        <w:rPr>
          <w:lang w:val="es-ES_tradnl"/>
        </w:rPr>
      </w:pPr>
    </w:p>
    <w:p w14:paraId="716F550E" w14:textId="7996A798" w:rsidR="00B1127D" w:rsidRPr="002E4449" w:rsidRDefault="00FF29F5" w:rsidP="00CD5BBE">
      <w:pPr>
        <w:spacing w:line="360" w:lineRule="auto"/>
        <w:jc w:val="both"/>
        <w:rPr>
          <w:b/>
          <w:lang w:val="es-ES_tradnl"/>
        </w:rPr>
      </w:pPr>
      <w:r w:rsidRPr="002E4449">
        <w:rPr>
          <w:b/>
          <w:lang w:val="es-ES_tradnl"/>
        </w:rPr>
        <w:t>Considerando:</w:t>
      </w:r>
    </w:p>
    <w:p w14:paraId="23A866BC" w14:textId="77777777" w:rsidR="005A52BE" w:rsidRPr="002E4449" w:rsidRDefault="005A52BE" w:rsidP="00CD5BBE">
      <w:pPr>
        <w:spacing w:line="360" w:lineRule="auto"/>
        <w:jc w:val="both"/>
        <w:rPr>
          <w:b/>
          <w:lang w:val="es-ES_tradnl"/>
        </w:rPr>
      </w:pPr>
    </w:p>
    <w:p w14:paraId="7CF10775" w14:textId="249911A0" w:rsidR="00707C0E" w:rsidRDefault="00ED28C2" w:rsidP="00CD5BBE">
      <w:pPr>
        <w:spacing w:line="360" w:lineRule="auto"/>
        <w:jc w:val="both"/>
      </w:pPr>
      <w:r w:rsidRPr="002E4449">
        <w:rPr>
          <w:lang w:val="es-ES_tradnl"/>
        </w:rPr>
        <w:t xml:space="preserve">     </w:t>
      </w:r>
      <w:r w:rsidR="005637D8" w:rsidRPr="002E4449">
        <w:rPr>
          <w:lang w:val="es-ES_tradnl"/>
        </w:rPr>
        <w:t xml:space="preserve"> </w:t>
      </w:r>
      <w:r w:rsidR="00AE2300" w:rsidRPr="002E4449">
        <w:rPr>
          <w:lang w:val="es-ES_tradnl"/>
        </w:rPr>
        <w:t xml:space="preserve">   </w:t>
      </w:r>
      <w:r w:rsidR="005A52BE" w:rsidRPr="002E4449">
        <w:t xml:space="preserve"> </w:t>
      </w:r>
      <w:r w:rsidR="00707C0E">
        <w:t xml:space="preserve">Que la citada resolución provincial aprobó un nuevo cuadro tarifario para las estaciones de peaje del Sistema Vial Integrado del Atlántico, incluyendo entre otras la estación de Samborombón, de directa incidencia para los traslados desde y hacia nuestra ciudad.  </w:t>
      </w:r>
    </w:p>
    <w:p w14:paraId="45B81FB2" w14:textId="77777777" w:rsidR="00707C0E" w:rsidRDefault="00707C0E" w:rsidP="00CD5BBE">
      <w:pPr>
        <w:spacing w:line="360" w:lineRule="auto"/>
        <w:jc w:val="both"/>
      </w:pPr>
    </w:p>
    <w:p w14:paraId="43A4C3CF" w14:textId="389D79AB" w:rsidR="00707C0E" w:rsidRDefault="00707C0E" w:rsidP="00CD5BBE">
      <w:pPr>
        <w:spacing w:line="360" w:lineRule="auto"/>
        <w:ind w:firstLine="708"/>
        <w:jc w:val="both"/>
      </w:pPr>
      <w:r>
        <w:t xml:space="preserve">Que de acuerdo con la información periodística local, el aumento aplicado en los peajes de las rutas provinciales 2 y 11 profundiza una situación ya gravosa para quienes desarrollan actividades de transporte de pasajeros y de carga desde Chascomús, generando costos de circulación significativamente altos para nuestra comunidad.  </w:t>
      </w:r>
    </w:p>
    <w:p w14:paraId="22F8B55E" w14:textId="77777777" w:rsidR="00707C0E" w:rsidRDefault="00707C0E" w:rsidP="00CD5BBE">
      <w:pPr>
        <w:spacing w:line="360" w:lineRule="auto"/>
        <w:jc w:val="both"/>
      </w:pPr>
    </w:p>
    <w:p w14:paraId="3A529078" w14:textId="03C1B863" w:rsidR="00707C0E" w:rsidRDefault="00707C0E" w:rsidP="00CD5BBE">
      <w:pPr>
        <w:spacing w:line="360" w:lineRule="auto"/>
        <w:ind w:firstLine="708"/>
        <w:jc w:val="both"/>
      </w:pPr>
      <w:r>
        <w:t xml:space="preserve">Que las informaciones citadas ut supra dan cuenta de que transportistas locales venían afrontando costos del orden de los $60.000 ida y vuelta en concepto de peajes para viajes entre Chascomús y la Ciudad Autónoma de Buenos Aires, y que el nuevo incremento trimestral fue del 5,7%, agravando aún más dicha situación.  </w:t>
      </w:r>
    </w:p>
    <w:p w14:paraId="0C7D23B7" w14:textId="77777777" w:rsidR="00707C0E" w:rsidRDefault="00707C0E" w:rsidP="00CD5BBE">
      <w:pPr>
        <w:spacing w:line="360" w:lineRule="auto"/>
        <w:jc w:val="both"/>
      </w:pPr>
    </w:p>
    <w:p w14:paraId="37CFC7F9" w14:textId="3BC76477" w:rsidR="00707C0E" w:rsidRDefault="00707C0E" w:rsidP="00CD5BBE">
      <w:pPr>
        <w:spacing w:line="360" w:lineRule="auto"/>
        <w:ind w:firstLine="708"/>
        <w:jc w:val="both"/>
      </w:pPr>
      <w:r>
        <w:t>Que los aumentos en peajes no constituyen una cuestión abstracta ni ajena a la realidad local, sino que repercuten directamente en el precio del transporte, en la logística de la producción, en los costos de comercialización y en la prestación de servicios.</w:t>
      </w:r>
    </w:p>
    <w:p w14:paraId="3937608B" w14:textId="77777777" w:rsidR="00707C0E" w:rsidRDefault="00707C0E" w:rsidP="00CD5BBE">
      <w:pPr>
        <w:spacing w:line="360" w:lineRule="auto"/>
        <w:jc w:val="both"/>
      </w:pPr>
    </w:p>
    <w:p w14:paraId="1C7F7A1B" w14:textId="77777777" w:rsidR="00707C0E" w:rsidRDefault="00707C0E" w:rsidP="00CD5BBE">
      <w:pPr>
        <w:spacing w:line="360" w:lineRule="auto"/>
        <w:ind w:firstLine="708"/>
        <w:jc w:val="both"/>
      </w:pPr>
      <w:r>
        <w:t>Que por la ubicación estratégica de nuestra ciudad sobre la traza de la Ruta Provincial Nº 2, Chascomús se encuentra especialmente expuesta a este tipo de decisiones tarifarias, que terminan afectando tanto a quienes viajan por razones laborales, educativas, sanitarias o familiares, como a los sectores productivos y comerciales que dependen de la conectividad vial.</w:t>
      </w:r>
    </w:p>
    <w:p w14:paraId="617C2DD5" w14:textId="77777777" w:rsidR="00707C0E" w:rsidRDefault="00707C0E" w:rsidP="00CD5BBE">
      <w:pPr>
        <w:spacing w:line="360" w:lineRule="auto"/>
        <w:jc w:val="both"/>
      </w:pPr>
    </w:p>
    <w:p w14:paraId="59A0B3AD" w14:textId="76BD4F69" w:rsidR="00AE2300" w:rsidRDefault="00707C0E" w:rsidP="00CD5BBE">
      <w:pPr>
        <w:spacing w:line="360" w:lineRule="auto"/>
        <w:ind w:firstLine="708"/>
        <w:jc w:val="both"/>
      </w:pPr>
      <w:r>
        <w:t>Que corresponde a este Honorable Concejo Deliberante requerir a Autopistas de Buenos Aires S.A. (AUBASA) y al Ministerio de Infraestructura y Servicios Públicos de la Provincia de Buenos Aires que evalúen medidas de compensación, revisión o segmentación tarifaria que contemplen la situación particular de las comunidades más afectadas, entre ellas Chascomús.</w:t>
      </w:r>
    </w:p>
    <w:p w14:paraId="579C68FA" w14:textId="77777777" w:rsidR="00707C0E" w:rsidRPr="00707C0E" w:rsidRDefault="00707C0E" w:rsidP="00CD5BBE">
      <w:pPr>
        <w:spacing w:line="360" w:lineRule="auto"/>
        <w:jc w:val="both"/>
      </w:pPr>
    </w:p>
    <w:p w14:paraId="5D676692" w14:textId="0776B61E" w:rsidR="000A3449" w:rsidRPr="002E4449" w:rsidRDefault="001E7BBB" w:rsidP="00CD5BBE">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CD5BBE">
      <w:pPr>
        <w:spacing w:line="360" w:lineRule="auto"/>
        <w:jc w:val="both"/>
        <w:rPr>
          <w:rFonts w:eastAsia="Verdana"/>
        </w:rPr>
      </w:pPr>
    </w:p>
    <w:p w14:paraId="6871888A" w14:textId="0DEF2E59" w:rsidR="00C1218D" w:rsidRPr="006E3127" w:rsidRDefault="00A97D8A" w:rsidP="00CD5BBE">
      <w:pPr>
        <w:spacing w:line="360" w:lineRule="auto"/>
        <w:jc w:val="center"/>
        <w:rPr>
          <w:b/>
          <w:bCs/>
        </w:rPr>
      </w:pPr>
      <w:r w:rsidRPr="006E3127">
        <w:rPr>
          <w:b/>
          <w:bCs/>
        </w:rPr>
        <w:t xml:space="preserve">PROYECTO DE </w:t>
      </w:r>
      <w:r w:rsidR="00707C0E" w:rsidRPr="006E3127">
        <w:rPr>
          <w:b/>
          <w:bCs/>
        </w:rPr>
        <w:t>COMUNICACIÓN</w:t>
      </w:r>
      <w:r w:rsidRPr="006E3127">
        <w:rPr>
          <w:b/>
          <w:bCs/>
        </w:rPr>
        <w:t>:</w:t>
      </w:r>
    </w:p>
    <w:p w14:paraId="79042CA9" w14:textId="20CB77A1" w:rsidR="00E92DEB" w:rsidRPr="000B6F94" w:rsidRDefault="00E92DEB" w:rsidP="00CD5BBE">
      <w:pPr>
        <w:spacing w:line="360" w:lineRule="auto"/>
        <w:jc w:val="both"/>
        <w:rPr>
          <w:b/>
          <w:bCs/>
        </w:rPr>
      </w:pPr>
    </w:p>
    <w:p w14:paraId="33905819" w14:textId="0BE889A6" w:rsidR="00707C0E" w:rsidRDefault="00707C0E" w:rsidP="00CD5BBE">
      <w:pPr>
        <w:spacing w:line="360" w:lineRule="auto"/>
        <w:jc w:val="both"/>
        <w:rPr>
          <w:lang w:eastAsia="en-US"/>
        </w:rPr>
      </w:pPr>
      <w:r w:rsidRPr="006E3127">
        <w:rPr>
          <w:b/>
          <w:lang w:eastAsia="en-US"/>
        </w:rPr>
        <w:t>ARTÍCULO 1°:</w:t>
      </w:r>
      <w:r>
        <w:rPr>
          <w:lang w:eastAsia="en-US"/>
        </w:rPr>
        <w:t xml:space="preserve"> Requiérase a Autopistas de Buenos Aires S.A. (AUBASA) que evalúe mecanismos que permitan morigerar el impacto de dichos aumentos sobre los usuarios vinculados a la ciudad de Chascomús, contemplando además de consideraciones ya vigentes, alternativas tales como esquemas diferenciales, beneficios para usuarios frecuentes, transportistas, prestadores de servicios y actividades productivas locales.</w:t>
      </w:r>
    </w:p>
    <w:p w14:paraId="43909365" w14:textId="77777777" w:rsidR="00707C0E" w:rsidRDefault="00707C0E" w:rsidP="00CD5BBE">
      <w:pPr>
        <w:spacing w:line="360" w:lineRule="auto"/>
        <w:jc w:val="both"/>
        <w:rPr>
          <w:lang w:eastAsia="en-US"/>
        </w:rPr>
      </w:pPr>
    </w:p>
    <w:p w14:paraId="1C735B24" w14:textId="2A380247" w:rsidR="00707C0E" w:rsidRDefault="00707C0E" w:rsidP="00CD5BBE">
      <w:pPr>
        <w:spacing w:line="360" w:lineRule="auto"/>
        <w:jc w:val="both"/>
        <w:rPr>
          <w:lang w:eastAsia="en-US"/>
        </w:rPr>
      </w:pPr>
      <w:r w:rsidRPr="006E3127">
        <w:rPr>
          <w:b/>
          <w:lang w:eastAsia="en-US"/>
        </w:rPr>
        <w:t>ARTÍCULO 2°:</w:t>
      </w:r>
      <w:r>
        <w:rPr>
          <w:lang w:eastAsia="en-US"/>
        </w:rPr>
        <w:t xml:space="preserve"> Solicítase al Ministerio de Infraestructura y Servicios Públicos de la Provincia de Buenos Aires que, en el ámbito de sus competencias, revise el impacto territorial de la política tarifaria aplicada al Sistema Vial Integrado del Atlántico y considere la implementación de medidas que atenúen sus efectos sobre localidades especialmente alcanzadas por esta carga, como Chascomús, que en comparación con otros corredores viales se encuentra en desventaja tarifaria y por ende competitiva en su relación con el costo de llegar a la Ciudad Autónoma de Buenos Aires.</w:t>
      </w:r>
    </w:p>
    <w:p w14:paraId="107C3891" w14:textId="77777777" w:rsidR="00707C0E" w:rsidRDefault="00707C0E" w:rsidP="00CD5BBE">
      <w:pPr>
        <w:spacing w:line="360" w:lineRule="auto"/>
        <w:jc w:val="both"/>
        <w:rPr>
          <w:lang w:eastAsia="en-US"/>
        </w:rPr>
      </w:pPr>
    </w:p>
    <w:p w14:paraId="0892C6E8" w14:textId="07406AD4" w:rsidR="00707C0E" w:rsidRDefault="00707C0E" w:rsidP="00CD5BBE">
      <w:pPr>
        <w:spacing w:line="360" w:lineRule="auto"/>
        <w:jc w:val="both"/>
        <w:rPr>
          <w:lang w:eastAsia="en-US"/>
        </w:rPr>
      </w:pPr>
      <w:r w:rsidRPr="006E3127">
        <w:rPr>
          <w:b/>
          <w:lang w:eastAsia="en-US"/>
        </w:rPr>
        <w:t>ARTÍCULO 3°:</w:t>
      </w:r>
      <w:r>
        <w:rPr>
          <w:lang w:eastAsia="en-US"/>
        </w:rPr>
        <w:t xml:space="preserve"> Remítase copia de la presente Resolución a Autopistas de Buenos Aires S.A. (AUBASA) y al Ministerio de Infraestructura y Servicios Públicos de la Provincia de Buenos Aires.</w:t>
      </w:r>
    </w:p>
    <w:p w14:paraId="01E5568D" w14:textId="77777777" w:rsidR="00707C0E" w:rsidRDefault="00707C0E" w:rsidP="00CD5BBE">
      <w:pPr>
        <w:spacing w:line="360" w:lineRule="auto"/>
        <w:jc w:val="both"/>
        <w:rPr>
          <w:lang w:eastAsia="en-US"/>
        </w:rPr>
      </w:pPr>
    </w:p>
    <w:p w14:paraId="62DCDB59" w14:textId="69B8C7C5" w:rsidR="00DB4CCC" w:rsidRPr="000B6F94" w:rsidRDefault="00707C0E" w:rsidP="00CD5BBE">
      <w:pPr>
        <w:spacing w:line="360" w:lineRule="auto"/>
        <w:jc w:val="both"/>
        <w:rPr>
          <w:lang w:eastAsia="en-US"/>
        </w:rPr>
      </w:pPr>
      <w:r w:rsidRPr="006E3127">
        <w:rPr>
          <w:b/>
          <w:lang w:eastAsia="en-US"/>
        </w:rPr>
        <w:t>ARTÍCULO 4°:</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6C24" w14:textId="77777777" w:rsidR="001C10F1" w:rsidRDefault="001C10F1">
      <w:r>
        <w:separator/>
      </w:r>
    </w:p>
  </w:endnote>
  <w:endnote w:type="continuationSeparator" w:id="0">
    <w:p w14:paraId="7DBF77F4" w14:textId="77777777" w:rsidR="001C10F1" w:rsidRDefault="001C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1C10F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D2CA544"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C75E0E">
          <w:rPr>
            <w:noProof/>
          </w:rPr>
          <w:t>1</w:t>
        </w:r>
        <w:r>
          <w:rPr>
            <w:noProof/>
          </w:rPr>
          <w:fldChar w:fldCharType="end"/>
        </w:r>
      </w:p>
    </w:sdtContent>
  </w:sdt>
  <w:p w14:paraId="248C0290" w14:textId="77777777" w:rsidR="00B111D8" w:rsidRDefault="001C10F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88947" w14:textId="77777777" w:rsidR="001C10F1" w:rsidRDefault="001C10F1">
      <w:r>
        <w:separator/>
      </w:r>
    </w:p>
  </w:footnote>
  <w:footnote w:type="continuationSeparator" w:id="0">
    <w:p w14:paraId="29489932" w14:textId="77777777" w:rsidR="001C10F1" w:rsidRDefault="001C1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1C10F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55DDA10" w:rsidR="00647273" w:rsidRDefault="006461E5" w:rsidP="00647273">
    <w:pPr>
      <w:jc w:val="center"/>
      <w:rPr>
        <w:b/>
        <w:bCs/>
        <w:color w:val="000000"/>
        <w:sz w:val="22"/>
        <w:szCs w:val="22"/>
      </w:rPr>
    </w:pPr>
    <w:r>
      <w:rPr>
        <w:b/>
        <w:bCs/>
        <w:color w:val="000000"/>
        <w:sz w:val="22"/>
        <w:szCs w:val="22"/>
      </w:rPr>
      <w:t xml:space="preserve">Mitre 38 </w:t>
    </w:r>
    <w:r w:rsidR="00CD5BBE">
      <w:rPr>
        <w:b/>
        <w:bCs/>
        <w:color w:val="000000"/>
        <w:sz w:val="22"/>
        <w:szCs w:val="22"/>
      </w:rPr>
      <w:t>–</w:t>
    </w:r>
    <w:r w:rsidR="00647273" w:rsidRPr="00B86158">
      <w:rPr>
        <w:b/>
        <w:bCs/>
        <w:color w:val="000000"/>
        <w:sz w:val="22"/>
        <w:szCs w:val="22"/>
      </w:rPr>
      <w:t xml:space="preserve"> Chascomús</w:t>
    </w:r>
  </w:p>
  <w:p w14:paraId="75DB22FC" w14:textId="10D902D3" w:rsidR="00CD5BBE" w:rsidRDefault="00CD5BBE" w:rsidP="00647273">
    <w:pPr>
      <w:jc w:val="center"/>
      <w:rPr>
        <w:b/>
        <w:bCs/>
        <w:color w:val="000000"/>
        <w:sz w:val="22"/>
        <w:szCs w:val="22"/>
      </w:rPr>
    </w:pPr>
    <w:r>
      <w:rPr>
        <w:b/>
        <w:bCs/>
        <w:color w:val="000000"/>
        <w:sz w:val="22"/>
        <w:szCs w:val="22"/>
      </w:rPr>
      <w:t>Bloques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1C10F1">
    <w:pPr>
      <w:jc w:val="center"/>
      <w:rPr>
        <w:b/>
        <w:sz w:val="22"/>
        <w:szCs w:val="22"/>
      </w:rPr>
    </w:pPr>
  </w:p>
  <w:p w14:paraId="4AEE11A9" w14:textId="77777777" w:rsidR="00B111D8" w:rsidRDefault="001C10F1">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C10F1"/>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91F"/>
    <w:rsid w:val="006A2EB8"/>
    <w:rsid w:val="006A3CDA"/>
    <w:rsid w:val="006B126A"/>
    <w:rsid w:val="006B384C"/>
    <w:rsid w:val="006B47B6"/>
    <w:rsid w:val="006C01E1"/>
    <w:rsid w:val="006D0010"/>
    <w:rsid w:val="006D13C7"/>
    <w:rsid w:val="006D4A9E"/>
    <w:rsid w:val="006E3127"/>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75E0E"/>
    <w:rsid w:val="00C84D7A"/>
    <w:rsid w:val="00C95D59"/>
    <w:rsid w:val="00C96DD1"/>
    <w:rsid w:val="00CA3296"/>
    <w:rsid w:val="00CB469A"/>
    <w:rsid w:val="00CC28EA"/>
    <w:rsid w:val="00CC5E7A"/>
    <w:rsid w:val="00CD287A"/>
    <w:rsid w:val="00CD5BBE"/>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86F3A"/>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2026-04-08T15:28:00Z</dcterms:created>
  <dcterms:modified xsi:type="dcterms:W3CDTF">2026-04-08T15:28:00Z</dcterms:modified>
</cp:coreProperties>
</file>