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C5FFDB" w14:textId="77777777" w:rsidR="000C34E4" w:rsidRDefault="000C34E4" w:rsidP="001E25B7">
      <w:pPr>
        <w:jc w:val="both"/>
        <w:rPr>
          <w:b/>
          <w:bCs/>
        </w:rPr>
      </w:pPr>
    </w:p>
    <w:p w14:paraId="4F6AC38A" w14:textId="77777777" w:rsidR="000C34E4" w:rsidRPr="002B06A0" w:rsidRDefault="000C34E4" w:rsidP="000C34E4">
      <w:pPr>
        <w:spacing w:after="0" w:line="240" w:lineRule="auto"/>
        <w:ind w:left="170"/>
        <w:jc w:val="right"/>
        <w:rPr>
          <w:rFonts w:ascii="Calibri" w:eastAsia="Times New Roman" w:hAnsi="Calibri" w:cs="Calibri"/>
          <w:kern w:val="0"/>
          <w:lang w:val="es-ES_tradnl" w:eastAsia="es-ES"/>
          <w14:ligatures w14:val="none"/>
        </w:rPr>
      </w:pPr>
      <w:r w:rsidRPr="002B06A0">
        <w:rPr>
          <w:rFonts w:ascii="Calibri" w:eastAsia="Times New Roman" w:hAnsi="Calibri" w:cs="Calibri"/>
          <w:kern w:val="0"/>
          <w:lang w:val="es-ES_tradnl" w:eastAsia="es-ES"/>
          <w14:ligatures w14:val="none"/>
        </w:rPr>
        <w:t xml:space="preserve">Chascomús </w:t>
      </w:r>
      <w:r>
        <w:rPr>
          <w:rFonts w:ascii="Calibri" w:eastAsia="Times New Roman" w:hAnsi="Calibri" w:cs="Calibri"/>
          <w:kern w:val="0"/>
          <w:lang w:val="es-ES_tradnl" w:eastAsia="es-ES"/>
          <w14:ligatures w14:val="none"/>
        </w:rPr>
        <w:t xml:space="preserve">06 de </w:t>
      </w:r>
      <w:proofErr w:type="gramStart"/>
      <w:r>
        <w:rPr>
          <w:rFonts w:ascii="Calibri" w:eastAsia="Times New Roman" w:hAnsi="Calibri" w:cs="Calibri"/>
          <w:kern w:val="0"/>
          <w:lang w:val="es-ES_tradnl" w:eastAsia="es-ES"/>
          <w14:ligatures w14:val="none"/>
        </w:rPr>
        <w:t>Octubre</w:t>
      </w:r>
      <w:proofErr w:type="gramEnd"/>
      <w:r w:rsidRPr="002B06A0">
        <w:rPr>
          <w:rFonts w:ascii="Calibri" w:eastAsia="Times New Roman" w:hAnsi="Calibri" w:cs="Calibri"/>
          <w:kern w:val="0"/>
          <w:lang w:val="es-ES_tradnl" w:eastAsia="es-ES"/>
          <w14:ligatures w14:val="none"/>
        </w:rPr>
        <w:t xml:space="preserve"> 2026.</w:t>
      </w:r>
    </w:p>
    <w:p w14:paraId="4DDC7034" w14:textId="77777777" w:rsidR="000C34E4" w:rsidRPr="002B06A0" w:rsidRDefault="000C34E4" w:rsidP="000C34E4">
      <w:pPr>
        <w:spacing w:after="0" w:line="240" w:lineRule="auto"/>
        <w:ind w:left="170"/>
        <w:rPr>
          <w:rFonts w:ascii="Calibri" w:eastAsia="Times New Roman" w:hAnsi="Calibri" w:cs="Calibri"/>
          <w:kern w:val="0"/>
          <w:lang w:val="es-ES_tradnl" w:eastAsia="es-ES"/>
          <w14:ligatures w14:val="none"/>
        </w:rPr>
      </w:pPr>
    </w:p>
    <w:p w14:paraId="1CC96A63" w14:textId="77777777" w:rsidR="000C34E4" w:rsidRPr="002B06A0" w:rsidRDefault="000C34E4" w:rsidP="000C34E4">
      <w:pPr>
        <w:spacing w:after="0" w:line="240" w:lineRule="auto"/>
        <w:ind w:left="170"/>
        <w:rPr>
          <w:rFonts w:ascii="Calibri" w:eastAsia="Times New Roman" w:hAnsi="Calibri" w:cs="Calibri"/>
          <w:kern w:val="0"/>
          <w:lang w:val="es-ES_tradnl" w:eastAsia="es-ES"/>
          <w14:ligatures w14:val="none"/>
        </w:rPr>
      </w:pPr>
    </w:p>
    <w:p w14:paraId="7603163A" w14:textId="77777777" w:rsidR="000C34E4" w:rsidRPr="002B06A0" w:rsidRDefault="000C34E4" w:rsidP="000C34E4">
      <w:pPr>
        <w:spacing w:after="0" w:line="240" w:lineRule="auto"/>
        <w:ind w:left="170"/>
        <w:rPr>
          <w:rFonts w:ascii="Calibri" w:eastAsia="Times New Roman" w:hAnsi="Calibri" w:cs="Calibri"/>
          <w:b/>
          <w:kern w:val="0"/>
          <w:lang w:val="es-ES_tradnl" w:eastAsia="es-ES"/>
          <w14:ligatures w14:val="none"/>
        </w:rPr>
      </w:pPr>
      <w:r w:rsidRPr="002B06A0">
        <w:rPr>
          <w:rFonts w:ascii="Calibri" w:eastAsia="Times New Roman" w:hAnsi="Calibri" w:cs="Calibri"/>
          <w:b/>
          <w:kern w:val="0"/>
          <w:lang w:val="es-ES_tradnl" w:eastAsia="es-ES"/>
          <w14:ligatures w14:val="none"/>
        </w:rPr>
        <w:t>Sr. Presidente del</w:t>
      </w:r>
    </w:p>
    <w:p w14:paraId="6F78AD19" w14:textId="77777777" w:rsidR="000C34E4" w:rsidRPr="002B06A0" w:rsidRDefault="000C34E4" w:rsidP="000C34E4">
      <w:pPr>
        <w:spacing w:after="0" w:line="240" w:lineRule="auto"/>
        <w:ind w:left="170"/>
        <w:rPr>
          <w:rFonts w:ascii="Calibri" w:eastAsia="Times New Roman" w:hAnsi="Calibri" w:cs="Calibri"/>
          <w:b/>
          <w:kern w:val="0"/>
          <w:lang w:val="es-ES_tradnl" w:eastAsia="es-ES"/>
          <w14:ligatures w14:val="none"/>
        </w:rPr>
      </w:pPr>
      <w:r w:rsidRPr="002B06A0">
        <w:rPr>
          <w:rFonts w:ascii="Calibri" w:eastAsia="Times New Roman" w:hAnsi="Calibri" w:cs="Calibri"/>
          <w:b/>
          <w:kern w:val="0"/>
          <w:lang w:val="es-ES_tradnl" w:eastAsia="es-ES"/>
          <w14:ligatures w14:val="none"/>
        </w:rPr>
        <w:t>Honorable Concejo Deliberante</w:t>
      </w:r>
    </w:p>
    <w:p w14:paraId="03958601" w14:textId="77777777" w:rsidR="000C34E4" w:rsidRPr="000C34E4" w:rsidRDefault="000C34E4" w:rsidP="000C34E4">
      <w:pPr>
        <w:spacing w:after="0" w:line="240" w:lineRule="auto"/>
        <w:ind w:left="170"/>
        <w:rPr>
          <w:rFonts w:ascii="Calibri" w:eastAsia="Times New Roman" w:hAnsi="Calibri" w:cs="Calibri"/>
          <w:b/>
          <w:kern w:val="0"/>
          <w:lang w:val="es-ES" w:eastAsia="es-ES"/>
          <w14:ligatures w14:val="none"/>
        </w:rPr>
      </w:pPr>
      <w:r w:rsidRPr="000C34E4">
        <w:rPr>
          <w:rFonts w:ascii="Calibri" w:eastAsia="Times New Roman" w:hAnsi="Calibri" w:cs="Calibri"/>
          <w:b/>
          <w:kern w:val="0"/>
          <w:lang w:val="es-ES" w:eastAsia="es-ES"/>
          <w14:ligatures w14:val="none"/>
        </w:rPr>
        <w:t>Sr. Oscar Freddy Toledo</w:t>
      </w:r>
    </w:p>
    <w:p w14:paraId="1A4299D3" w14:textId="77777777" w:rsidR="000C34E4" w:rsidRPr="000C34E4" w:rsidRDefault="000C34E4" w:rsidP="000C34E4">
      <w:pPr>
        <w:spacing w:after="0" w:line="240" w:lineRule="auto"/>
        <w:ind w:left="170"/>
        <w:rPr>
          <w:rFonts w:ascii="Calibri" w:eastAsia="Times New Roman" w:hAnsi="Calibri" w:cs="Calibri"/>
          <w:b/>
          <w:kern w:val="0"/>
          <w:lang w:val="es-ES" w:eastAsia="es-ES"/>
          <w14:ligatures w14:val="none"/>
        </w:rPr>
      </w:pPr>
      <w:r w:rsidRPr="000C34E4">
        <w:rPr>
          <w:rFonts w:ascii="Calibri" w:eastAsia="Times New Roman" w:hAnsi="Calibri" w:cs="Calibri"/>
          <w:b/>
          <w:kern w:val="0"/>
          <w:lang w:val="es-ES" w:eastAsia="es-ES"/>
          <w14:ligatures w14:val="none"/>
        </w:rPr>
        <w:t>S/D</w:t>
      </w:r>
    </w:p>
    <w:p w14:paraId="0813F5BE" w14:textId="77777777" w:rsidR="000C34E4" w:rsidRPr="000C34E4" w:rsidRDefault="000C34E4" w:rsidP="000C34E4">
      <w:pPr>
        <w:spacing w:after="0" w:line="240" w:lineRule="auto"/>
        <w:ind w:left="170"/>
        <w:rPr>
          <w:rFonts w:ascii="Calibri" w:eastAsia="Times New Roman" w:hAnsi="Calibri" w:cs="Calibri"/>
          <w:b/>
          <w:kern w:val="0"/>
          <w:lang w:val="es-ES" w:eastAsia="es-ES"/>
          <w14:ligatures w14:val="none"/>
        </w:rPr>
      </w:pPr>
    </w:p>
    <w:p w14:paraId="00C73572" w14:textId="77777777" w:rsidR="000C34E4" w:rsidRPr="002B06A0" w:rsidRDefault="000C34E4" w:rsidP="000C34E4">
      <w:pPr>
        <w:spacing w:after="0" w:line="240" w:lineRule="auto"/>
        <w:ind w:left="170"/>
        <w:rPr>
          <w:rFonts w:ascii="Arial" w:eastAsia="Times New Roman" w:hAnsi="Arial" w:cs="Arial"/>
          <w:kern w:val="0"/>
          <w:sz w:val="24"/>
          <w:szCs w:val="24"/>
          <w:lang w:val="es-ES_tradnl" w:eastAsia="es-ES"/>
          <w14:ligatures w14:val="none"/>
        </w:rPr>
      </w:pPr>
      <w:r w:rsidRPr="002B06A0">
        <w:rPr>
          <w:rFonts w:ascii="Arial" w:eastAsia="Times New Roman" w:hAnsi="Arial" w:cs="Arial"/>
          <w:kern w:val="0"/>
          <w:sz w:val="24"/>
          <w:szCs w:val="24"/>
          <w:lang w:val="es-ES_tradnl" w:eastAsia="es-ES"/>
          <w14:ligatures w14:val="none"/>
        </w:rPr>
        <w:t>De nuestra mayor consideración:</w:t>
      </w:r>
    </w:p>
    <w:p w14:paraId="755A0B76" w14:textId="77777777" w:rsidR="000C34E4" w:rsidRPr="002B06A0" w:rsidRDefault="000C34E4" w:rsidP="000C34E4">
      <w:pPr>
        <w:spacing w:after="0" w:line="240" w:lineRule="auto"/>
        <w:ind w:left="170"/>
        <w:rPr>
          <w:rFonts w:ascii="Arial" w:eastAsia="Times New Roman" w:hAnsi="Arial" w:cs="Arial"/>
          <w:kern w:val="0"/>
          <w:sz w:val="24"/>
          <w:szCs w:val="24"/>
          <w:lang w:val="es-ES_tradnl" w:eastAsia="es-ES"/>
          <w14:ligatures w14:val="none"/>
        </w:rPr>
      </w:pPr>
      <w:r w:rsidRPr="002B06A0">
        <w:rPr>
          <w:rFonts w:ascii="Arial" w:eastAsia="Times New Roman" w:hAnsi="Arial" w:cs="Arial"/>
          <w:kern w:val="0"/>
          <w:sz w:val="24"/>
          <w:szCs w:val="24"/>
          <w:lang w:val="es-ES_tradnl" w:eastAsia="es-ES"/>
          <w14:ligatures w14:val="none"/>
        </w:rPr>
        <w:t xml:space="preserve">                                                     Remitimos copia del presente proyecto para ser incluida en el orden del día de la próxima sesión</w:t>
      </w:r>
      <w:r>
        <w:rPr>
          <w:rFonts w:ascii="Arial" w:eastAsia="Times New Roman" w:hAnsi="Arial" w:cs="Arial"/>
          <w:kern w:val="0"/>
          <w:sz w:val="24"/>
          <w:szCs w:val="24"/>
          <w:lang w:val="es-ES_tradnl" w:eastAsia="es-ES"/>
          <w14:ligatures w14:val="none"/>
        </w:rPr>
        <w:t>.</w:t>
      </w:r>
    </w:p>
    <w:p w14:paraId="78B61ABD" w14:textId="77777777" w:rsidR="000C34E4" w:rsidRPr="000C34E4" w:rsidRDefault="000C34E4" w:rsidP="001E25B7">
      <w:pPr>
        <w:jc w:val="both"/>
        <w:rPr>
          <w:b/>
          <w:bCs/>
          <w:lang w:val="es-ES_tradnl"/>
        </w:rPr>
      </w:pPr>
    </w:p>
    <w:p w14:paraId="08A37B40" w14:textId="6DF55B22" w:rsidR="00FA502E" w:rsidRPr="00FA502E" w:rsidRDefault="00FA502E" w:rsidP="001E25B7">
      <w:pPr>
        <w:jc w:val="both"/>
      </w:pPr>
      <w:r w:rsidRPr="00FA502E">
        <w:rPr>
          <w:b/>
          <w:bCs/>
        </w:rPr>
        <w:t>TÍTULO: REPUDIO A LA DECISIÓN DE LA CORTE SUPREMA DE JUSTICIA DE LA NACIÓN QUE DEJÓ SIN EFECTO EL FALLO QUE MANTENÍA VIGENTE LA LEY DE TIERRAS RURALES</w:t>
      </w:r>
    </w:p>
    <w:p w14:paraId="02BC09EA" w14:textId="77777777" w:rsidR="00FA502E" w:rsidRPr="00FA502E" w:rsidRDefault="00FA502E" w:rsidP="001E25B7">
      <w:pPr>
        <w:jc w:val="both"/>
      </w:pPr>
      <w:r w:rsidRPr="00FA502E">
        <w:rPr>
          <w:b/>
          <w:bCs/>
        </w:rPr>
        <w:t>VISTO:</w:t>
      </w:r>
    </w:p>
    <w:p w14:paraId="02D50A50" w14:textId="0006D1C6" w:rsidR="00FA502E" w:rsidRPr="00FA502E" w:rsidRDefault="00FA502E" w:rsidP="001E25B7">
      <w:pPr>
        <w:jc w:val="both"/>
      </w:pPr>
      <w:r w:rsidRPr="00FA502E">
        <w:t>La decisión de la Corte Suprema de Justicia de la Nación que dejó sin efecto la sentencia que había declarado la inconstitucionalidad del artículo 154 del Decreto de Necesidad y Urgencia N</w:t>
      </w:r>
      <w:r w:rsidR="00F26C8D">
        <w:t>°</w:t>
      </w:r>
      <w:r w:rsidRPr="00FA502E">
        <w:t>70/2023, mediante el cual se derogó la Ley Nacional N</w:t>
      </w:r>
      <w:r w:rsidR="00F26C8D">
        <w:t>°</w:t>
      </w:r>
      <w:r w:rsidRPr="00FA502E">
        <w:t>26.737 de Régimen de Protección al Dominio Nacional sobre la Propiedad, Posesión o Tenencia de las Tierras Rurales; y</w:t>
      </w:r>
    </w:p>
    <w:p w14:paraId="41F94A4C" w14:textId="77777777" w:rsidR="00FA502E" w:rsidRPr="00FA502E" w:rsidRDefault="00FA502E" w:rsidP="001E25B7">
      <w:pPr>
        <w:jc w:val="both"/>
      </w:pPr>
      <w:r w:rsidRPr="00FA502E">
        <w:rPr>
          <w:b/>
          <w:bCs/>
        </w:rPr>
        <w:t>CONSIDERANDO:</w:t>
      </w:r>
    </w:p>
    <w:p w14:paraId="13A42F08" w14:textId="631E10A2" w:rsidR="00FA502E" w:rsidRPr="00FA502E" w:rsidRDefault="00FA502E" w:rsidP="000C34E4">
      <w:pPr>
        <w:ind w:firstLine="708"/>
        <w:jc w:val="both"/>
      </w:pPr>
      <w:r w:rsidRPr="00FA502E">
        <w:t>Que la Ley Nacional N</w:t>
      </w:r>
      <w:r w:rsidR="00B55CF4">
        <w:t>°</w:t>
      </w:r>
      <w:r w:rsidRPr="00FA502E">
        <w:t>26.737, sancionada en el año 2011, estableció un régimen de protección del dominio nacional sobre la propiedad, posesión y tenencia de las tierras rurales en todo el territorio de la República Argentina;</w:t>
      </w:r>
    </w:p>
    <w:p w14:paraId="1CAD078C" w14:textId="77777777" w:rsidR="00FA502E" w:rsidRPr="00FA502E" w:rsidRDefault="00FA502E" w:rsidP="000C34E4">
      <w:pPr>
        <w:ind w:firstLine="708"/>
        <w:jc w:val="both"/>
      </w:pPr>
      <w:r w:rsidRPr="00FA502E">
        <w:t>Que dicha norma estableció límites a la titularidad y posesión de tierras rurales por parte de personas físicas y jurídicas extranjeras, disponiendo, entre otras medidas, un límite general del quince por ciento (15 %) de titularidad extranjera sobre las tierras rurales;</w:t>
      </w:r>
    </w:p>
    <w:p w14:paraId="35073DD5" w14:textId="77777777" w:rsidR="00FA502E" w:rsidRPr="00FA502E" w:rsidRDefault="00FA502E" w:rsidP="000C34E4">
      <w:pPr>
        <w:ind w:firstLine="708"/>
        <w:jc w:val="both"/>
      </w:pPr>
      <w:r w:rsidRPr="00FA502E">
        <w:t>Que asimismo estableció límites respecto de la concentración de tierras en personas de una misma nacionalidad extranjera y de la superficie que podía encontrarse bajo titularidad de un mismo sujeto extranjero;</w:t>
      </w:r>
    </w:p>
    <w:p w14:paraId="71DBE227" w14:textId="77777777" w:rsidR="00FA502E" w:rsidRPr="00FA502E" w:rsidRDefault="00FA502E" w:rsidP="000C34E4">
      <w:pPr>
        <w:ind w:firstLine="708"/>
        <w:jc w:val="both"/>
      </w:pPr>
      <w:r w:rsidRPr="00FA502E">
        <w:t>Que la norma contemplaba también restricciones específicas respecto de inmuebles que contuvieran o fueran ribereños de cuerpos de agua de envergadura y permanentes, así como respecto de inmuebles ubicados en zonas de seguridad de frontera;</w:t>
      </w:r>
    </w:p>
    <w:p w14:paraId="1B7FE0D7" w14:textId="77777777" w:rsidR="00FA502E" w:rsidRPr="00FA502E" w:rsidRDefault="00FA502E" w:rsidP="000C34E4">
      <w:pPr>
        <w:ind w:firstLine="708"/>
        <w:jc w:val="both"/>
      </w:pPr>
      <w:r w:rsidRPr="00FA502E">
        <w:t>Que estas disposiciones constituyeron herramientas de regulación estatal destinadas a preservar el control sobre un recurso esencial y estratégico como es la tierra y, particularmente, sobre territorios vinculados con recursos naturales, fuentes de agua y zonas de relevancia estratégica;</w:t>
      </w:r>
    </w:p>
    <w:p w14:paraId="13E15686" w14:textId="35EC6E1E" w:rsidR="00FA502E" w:rsidRPr="00FA502E" w:rsidRDefault="00FA502E" w:rsidP="000C34E4">
      <w:pPr>
        <w:ind w:firstLine="708"/>
        <w:jc w:val="both"/>
      </w:pPr>
      <w:r w:rsidRPr="00FA502E">
        <w:lastRenderedPageBreak/>
        <w:t>Que mediante el artículo 154 del Decreto de Necesidad y Urgencia N</w:t>
      </w:r>
      <w:r w:rsidR="00B55CF4">
        <w:t>°</w:t>
      </w:r>
      <w:r w:rsidRPr="00FA502E">
        <w:t>70/2023 el Poder Ejecutivo Nacional dispuso la derogación integral de la Ley N</w:t>
      </w:r>
      <w:r w:rsidR="00B55CF4">
        <w:t>°</w:t>
      </w:r>
      <w:r w:rsidRPr="00FA502E">
        <w:t>26.737;</w:t>
      </w:r>
    </w:p>
    <w:p w14:paraId="46C111EB" w14:textId="77777777" w:rsidR="00FA502E" w:rsidRPr="00FA502E" w:rsidRDefault="00FA502E" w:rsidP="000C34E4">
      <w:pPr>
        <w:ind w:firstLine="708"/>
        <w:jc w:val="both"/>
      </w:pPr>
      <w:r w:rsidRPr="00FA502E">
        <w:t>Que dicha derogación fue cuestionada judicialmente por el Centro de Ex Combatientes Islas Malvinas La Plata (CECIM La Plata), dando origen a una causa tramitada ante la Justicia Federal;</w:t>
      </w:r>
    </w:p>
    <w:p w14:paraId="77D949E5" w14:textId="410EC84B" w:rsidR="00FA502E" w:rsidRPr="00FA502E" w:rsidRDefault="00FA502E" w:rsidP="000C34E4">
      <w:pPr>
        <w:ind w:firstLine="708"/>
        <w:jc w:val="both"/>
      </w:pPr>
      <w:r w:rsidRPr="00FA502E">
        <w:t>Que la Sala III de la Cámara Federal de Apelaciones de La Plata hizo lugar oportunamente a la acción promovida y declaró la inconstitucionalidad del artículo 154 del Decreto de Necesidad y Urgencia N</w:t>
      </w:r>
      <w:r w:rsidR="00B55CF4">
        <w:t>°</w:t>
      </w:r>
      <w:r w:rsidRPr="00FA502E">
        <w:t>70/2023, manteniendo de ese modo la vigencia del régimen establecido por la Ley N</w:t>
      </w:r>
      <w:r w:rsidR="00B55CF4">
        <w:t>°</w:t>
      </w:r>
      <w:r w:rsidRPr="00FA502E">
        <w:t>26.737;</w:t>
      </w:r>
    </w:p>
    <w:p w14:paraId="65F4DB1D" w14:textId="77777777" w:rsidR="00FA502E" w:rsidRPr="00FA502E" w:rsidRDefault="00FA502E" w:rsidP="000C34E4">
      <w:pPr>
        <w:ind w:firstLine="708"/>
        <w:jc w:val="both"/>
      </w:pPr>
      <w:r w:rsidRPr="00FA502E">
        <w:t>Que posteriormente la Corte Suprema de Justicia de la Nación revocó dicha sentencia, al considerar que la entidad actora carecía de legitimación para promover la acción y que no se encontraba configurado un caso o controversia que habilitara la intervención judicial;</w:t>
      </w:r>
    </w:p>
    <w:p w14:paraId="7D86CA5D" w14:textId="4DE6C42A" w:rsidR="00FA502E" w:rsidRPr="00FA502E" w:rsidRDefault="00FA502E" w:rsidP="000C34E4">
      <w:pPr>
        <w:ind w:firstLine="708"/>
        <w:jc w:val="both"/>
      </w:pPr>
      <w:r w:rsidRPr="00FA502E">
        <w:t>Que corresponde señalar que la Corte Suprema no se pronunció sobre la constitucionalidad o inconstitucionalidad del artículo 154 del Decreto N</w:t>
      </w:r>
      <w:r w:rsidR="00B55CF4">
        <w:t>°</w:t>
      </w:r>
      <w:r w:rsidRPr="00FA502E">
        <w:t>70/2023, sino que fundó su decisión en cuestiones vinculadas con la legitimación de la parte actora y la existencia de caso judicial;</w:t>
      </w:r>
    </w:p>
    <w:p w14:paraId="370E4207" w14:textId="06CD24C3" w:rsidR="00FA502E" w:rsidRPr="00FA502E" w:rsidRDefault="00FA502E" w:rsidP="000C34E4">
      <w:pPr>
        <w:ind w:firstLine="708"/>
        <w:jc w:val="both"/>
      </w:pPr>
      <w:r w:rsidRPr="00FA502E">
        <w:t xml:space="preserve">Que, no </w:t>
      </w:r>
      <w:proofErr w:type="gramStart"/>
      <w:r w:rsidRPr="00FA502E">
        <w:t>obstante</w:t>
      </w:r>
      <w:proofErr w:type="gramEnd"/>
      <w:r w:rsidRPr="00FA502E">
        <w:t xml:space="preserve"> ello, la consecuencia concreta de dicha decisión es dejar sin efecto la sentencia de la Cámara Federal de Apelaciones de La Plata y, por consiguiente, tornar nuevamente operativa la derogación de la Ley N</w:t>
      </w:r>
      <w:r w:rsidR="00B55CF4">
        <w:t>°</w:t>
      </w:r>
      <w:r w:rsidRPr="00FA502E">
        <w:t>26.737 dispuesta mediante el artículo 154 del Decreto de Necesidad y Urgencia N</w:t>
      </w:r>
      <w:r w:rsidR="00AB5107">
        <w:t>°</w:t>
      </w:r>
      <w:r w:rsidRPr="00FA502E">
        <w:t>70/2023;</w:t>
      </w:r>
    </w:p>
    <w:p w14:paraId="3907E447" w14:textId="77777777" w:rsidR="00FA502E" w:rsidRPr="00FA502E" w:rsidRDefault="00FA502E" w:rsidP="000C34E4">
      <w:pPr>
        <w:ind w:firstLine="708"/>
        <w:jc w:val="both"/>
      </w:pPr>
      <w:r w:rsidRPr="00FA502E">
        <w:t>Que la tierra no constituye únicamente un activo económico, sino un recurso estrechamente vinculado con la producción de alimentos, el acceso y preservación del agua, el desarrollo de las comunidades, el ordenamiento territorial y el ejercicio de la soberanía nacional;</w:t>
      </w:r>
    </w:p>
    <w:p w14:paraId="7ECD5A8C" w14:textId="77777777" w:rsidR="00FA502E" w:rsidRPr="00FA502E" w:rsidRDefault="00FA502E" w:rsidP="000C34E4">
      <w:pPr>
        <w:ind w:firstLine="708"/>
        <w:jc w:val="both"/>
      </w:pPr>
      <w:r w:rsidRPr="00FA502E">
        <w:t>Que la regulación de la adquisición y concentración de tierras rurales por parte de personas físicas y jurídicas extranjeras constituye, en consecuencia, una cuestión de interés público que excede la consideración de la tierra exclusivamente como un bien susceptible de intercambio económico;</w:t>
      </w:r>
    </w:p>
    <w:p w14:paraId="27179623" w14:textId="77777777" w:rsidR="00FA502E" w:rsidRPr="00FA502E" w:rsidRDefault="00FA502E" w:rsidP="000C34E4">
      <w:pPr>
        <w:ind w:firstLine="708"/>
        <w:jc w:val="both"/>
      </w:pPr>
      <w:r w:rsidRPr="00FA502E">
        <w:t>Que resulta particularmente preocupante la eliminación de mecanismos legales destinados a establecer límites y controles sobre la adquisición extranjera de tierras rurales, especialmente cuando se trata de territorios vinculados con fuentes de agua, recursos naturales estratégicos o zonas de frontera;</w:t>
      </w:r>
    </w:p>
    <w:p w14:paraId="4EE77822" w14:textId="77777777" w:rsidR="00FA502E" w:rsidRPr="00FA502E" w:rsidRDefault="00FA502E" w:rsidP="000C34E4">
      <w:pPr>
        <w:ind w:firstLine="708"/>
        <w:jc w:val="both"/>
      </w:pPr>
      <w:r w:rsidRPr="00FA502E">
        <w:t>Que la Constitución Nacional establece en su artículo 41 el deber de las autoridades de proveer a la utilización racional de los recursos naturales y a la preservación del patrimonio natural;</w:t>
      </w:r>
    </w:p>
    <w:p w14:paraId="20F88BC4" w14:textId="77777777" w:rsidR="00FA502E" w:rsidRPr="00FA502E" w:rsidRDefault="00FA502E" w:rsidP="000C34E4">
      <w:pPr>
        <w:ind w:firstLine="708"/>
        <w:jc w:val="both"/>
      </w:pPr>
      <w:r w:rsidRPr="00FA502E">
        <w:t>Que el debate acerca del régimen jurídico aplicable a las tierras rurales y de los límites a su extranjerización debe desarrollarse en el ámbito institucional correspondiente y con la participación del Congreso de la Nación, en atención a la trascendencia territorial, productiva, ambiental y estratégica de la materia;</w:t>
      </w:r>
    </w:p>
    <w:p w14:paraId="7A16A8C1" w14:textId="06BCAE63" w:rsidR="00FA502E" w:rsidRPr="00FA502E" w:rsidRDefault="00FA502E" w:rsidP="000C34E4">
      <w:pPr>
        <w:ind w:firstLine="708"/>
        <w:jc w:val="both"/>
      </w:pPr>
      <w:r w:rsidRPr="00FA502E">
        <w:t>Que la propia Corte Suprema señaló que su decisión no implica pronunciamiento alguno respecto de la validez constitucional del artículo 154 del Decreto N</w:t>
      </w:r>
      <w:r w:rsidR="00AB5107">
        <w:t>°</w:t>
      </w:r>
      <w:r w:rsidRPr="00FA502E">
        <w:t>70/2023 ni interfiere con la intervención que corresponde al Poder Legislativo conforme al artículo 99 inciso 3º de la Constitución Nacional;</w:t>
      </w:r>
    </w:p>
    <w:p w14:paraId="5254EA0D" w14:textId="77777777" w:rsidR="00FA502E" w:rsidRPr="00FA502E" w:rsidRDefault="00FA502E" w:rsidP="000C34E4">
      <w:pPr>
        <w:ind w:firstLine="708"/>
        <w:jc w:val="both"/>
      </w:pPr>
      <w:r w:rsidRPr="00FA502E">
        <w:lastRenderedPageBreak/>
        <w:t>Que los gobiernos locales, particularmente aquellos pertenecientes a partidos con una importante extensión rural y una estrecha vinculación económica, productiva, social y ambiental con su territorio, no pueden permanecer ajenos a un debate que involucra la protección y utilización de la tierra y de los recursos naturales;</w:t>
      </w:r>
    </w:p>
    <w:p w14:paraId="1EA3CAF8" w14:textId="77777777" w:rsidR="00FA502E" w:rsidRPr="00FA502E" w:rsidRDefault="00FA502E" w:rsidP="000C34E4">
      <w:pPr>
        <w:ind w:firstLine="708"/>
        <w:jc w:val="both"/>
      </w:pPr>
      <w:r w:rsidRPr="00FA502E">
        <w:t>Que el Partido de Chascomús posee una extensa superficie rural, donde se desarrollan actividades productivas, ambientales y sociales fundamentales para la identidad y el desarrollo de nuestra comunidad;</w:t>
      </w:r>
    </w:p>
    <w:p w14:paraId="0CAE4232" w14:textId="77777777" w:rsidR="00FA502E" w:rsidRPr="00FA502E" w:rsidRDefault="00FA502E" w:rsidP="000C34E4">
      <w:pPr>
        <w:ind w:firstLine="708"/>
        <w:jc w:val="both"/>
      </w:pPr>
      <w:r w:rsidRPr="00FA502E">
        <w:t>Que la defensa de la soberanía territorial y la preservación de los recursos naturales estratégicos constituyen principios que deben ser sostenidos por todos los niveles del Estado;</w:t>
      </w:r>
    </w:p>
    <w:p w14:paraId="3238E789" w14:textId="77777777" w:rsidR="00B55CF4" w:rsidRPr="000C34E4" w:rsidRDefault="00B55CF4" w:rsidP="00B55CF4">
      <w:pPr>
        <w:jc w:val="center"/>
        <w:rPr>
          <w:b/>
          <w:i/>
        </w:rPr>
      </w:pPr>
      <w:r w:rsidRPr="000C34E4">
        <w:rPr>
          <w:b/>
          <w:i/>
        </w:rPr>
        <w:t xml:space="preserve">Por ello, los concejales de </w:t>
      </w:r>
      <w:proofErr w:type="spellStart"/>
      <w:r w:rsidRPr="000C34E4">
        <w:rPr>
          <w:b/>
          <w:i/>
        </w:rPr>
        <w:t>UxCH</w:t>
      </w:r>
      <w:proofErr w:type="spellEnd"/>
      <w:r w:rsidRPr="000C34E4">
        <w:rPr>
          <w:b/>
          <w:i/>
        </w:rPr>
        <w:t xml:space="preserve"> y </w:t>
      </w:r>
      <w:proofErr w:type="spellStart"/>
      <w:r w:rsidRPr="000C34E4">
        <w:rPr>
          <w:b/>
          <w:i/>
        </w:rPr>
        <w:t>UxCH</w:t>
      </w:r>
      <w:proofErr w:type="spellEnd"/>
      <w:r w:rsidRPr="000C34E4">
        <w:rPr>
          <w:b/>
          <w:i/>
        </w:rPr>
        <w:t>/FP proponen el siguiente</w:t>
      </w:r>
    </w:p>
    <w:p w14:paraId="4C173DC6" w14:textId="77777777" w:rsidR="00B55CF4" w:rsidRPr="000C34E4" w:rsidRDefault="00B55CF4" w:rsidP="00B55CF4">
      <w:pPr>
        <w:jc w:val="center"/>
        <w:rPr>
          <w:b/>
          <w:bCs/>
          <w:u w:val="single"/>
        </w:rPr>
      </w:pPr>
      <w:r w:rsidRPr="000C34E4">
        <w:rPr>
          <w:b/>
          <w:bCs/>
          <w:u w:val="single"/>
        </w:rPr>
        <w:t>PROYECTO DE RESOLUCIÓN</w:t>
      </w:r>
    </w:p>
    <w:p w14:paraId="4B21BAAE" w14:textId="48CA3525" w:rsidR="00FA502E" w:rsidRPr="00FA502E" w:rsidRDefault="00FA502E" w:rsidP="00B55CF4">
      <w:pPr>
        <w:jc w:val="both"/>
      </w:pPr>
      <w:bookmarkStart w:id="0" w:name="_GoBack"/>
      <w:bookmarkEnd w:id="0"/>
      <w:r w:rsidRPr="00FA502E">
        <w:rPr>
          <w:b/>
          <w:bCs/>
        </w:rPr>
        <w:t>ARTÍCULO 1º.-</w:t>
      </w:r>
      <w:r w:rsidRPr="00FA502E">
        <w:t xml:space="preserve"> Expresar </w:t>
      </w:r>
      <w:r w:rsidRPr="00B55CF4">
        <w:t>su repudio a la decisión de la Corte Suprema de Justicia de la Nación que revocó la sentencia de la Sala</w:t>
      </w:r>
      <w:r w:rsidRPr="00FA502E">
        <w:t xml:space="preserve"> III de la Cámara Federal de Apelaciones de La Plata que había declarado la inconstitucionalidad del artículo 154 del Decreto de Necesidad y Urgencia N</w:t>
      </w:r>
      <w:r w:rsidR="00F26C8D">
        <w:t>°</w:t>
      </w:r>
      <w:r w:rsidRPr="00FA502E">
        <w:t>70/2023, decisión que tiene como consecuencia tornar nuevamente operativa la derogación de la Ley Nacional N</w:t>
      </w:r>
      <w:r w:rsidR="00F26C8D">
        <w:t>°</w:t>
      </w:r>
      <w:r w:rsidRPr="00FA502E">
        <w:t>26.737 de Régimen de Protección al Dominio Nacional sobre la Propiedad, Posesión o Tenencia de las Tierras Rurales.</w:t>
      </w:r>
    </w:p>
    <w:p w14:paraId="6803808C" w14:textId="1B36C3BD" w:rsidR="00FA502E" w:rsidRPr="00FA502E" w:rsidRDefault="00FA502E" w:rsidP="001E25B7">
      <w:pPr>
        <w:jc w:val="both"/>
      </w:pPr>
      <w:r w:rsidRPr="00FA502E">
        <w:rPr>
          <w:b/>
          <w:bCs/>
        </w:rPr>
        <w:t>ARTÍCULO 2º.-</w:t>
      </w:r>
      <w:r w:rsidRPr="00FA502E">
        <w:t xml:space="preserve"> Expresar su preocupación ante la eliminación de los límites y mecanismos de protección establecidos por la Ley N</w:t>
      </w:r>
      <w:r w:rsidR="00B55CF4">
        <w:t>°</w:t>
      </w:r>
      <w:r w:rsidRPr="00FA502E">
        <w:t>26.737 respecto de la adquisición y concentración de tierras rurales por parte de personas físicas y jurídicas extranjeras, en consideración a la importancia estratégica de la tierra, los recursos naturales, el agua, la producción y la soberanía territorial de la República Argentina.</w:t>
      </w:r>
    </w:p>
    <w:p w14:paraId="696764CE" w14:textId="77777777" w:rsidR="00FA502E" w:rsidRPr="00FA502E" w:rsidRDefault="00FA502E" w:rsidP="001E25B7">
      <w:pPr>
        <w:jc w:val="both"/>
      </w:pPr>
      <w:r w:rsidRPr="00FA502E">
        <w:rPr>
          <w:b/>
          <w:bCs/>
        </w:rPr>
        <w:t>ARTÍCULO 3º.-</w:t>
      </w:r>
      <w:r w:rsidRPr="00FA502E">
        <w:t xml:space="preserve"> Manifestar la necesidad de contar con un régimen legal que establezca mecanismos adecuados de protección del dominio nacional sobre las tierras rurales y límites a su concentración y extranjerización, garantizando la protección de los recursos naturales estratégicos y de los intereses territoriales, productivos y ambientales de la Nación.</w:t>
      </w:r>
    </w:p>
    <w:p w14:paraId="3E932CE5" w14:textId="3CF3E614" w:rsidR="00FA502E" w:rsidRPr="00FA502E" w:rsidRDefault="00FA502E" w:rsidP="001E25B7">
      <w:pPr>
        <w:jc w:val="both"/>
      </w:pPr>
      <w:r w:rsidRPr="00FA502E">
        <w:rPr>
          <w:b/>
          <w:bCs/>
        </w:rPr>
        <w:t>ARTÍCULO 4º.-</w:t>
      </w:r>
      <w:r w:rsidRPr="00FA502E">
        <w:t xml:space="preserve"> Solicitar al Honorable Congreso de la Nación que, en el ámbito de sus competencias constitucionales, adopte las medidas legislativas que considere pertinentes respecto del régimen de protección de las tierras rurales y del artículo 154 del Decreto de Necesidad y Urgencia N</w:t>
      </w:r>
      <w:r w:rsidR="00B55CF4">
        <w:t>°</w:t>
      </w:r>
      <w:r w:rsidRPr="00FA502E">
        <w:t>70/2023.</w:t>
      </w:r>
    </w:p>
    <w:p w14:paraId="2F2E22E9" w14:textId="77777777" w:rsidR="00FA502E" w:rsidRPr="00FA502E" w:rsidRDefault="00FA502E" w:rsidP="001E25B7">
      <w:pPr>
        <w:jc w:val="both"/>
      </w:pPr>
      <w:r w:rsidRPr="00FA502E">
        <w:rPr>
          <w:b/>
          <w:bCs/>
        </w:rPr>
        <w:t>ARTÍCULO 5º.-</w:t>
      </w:r>
      <w:r w:rsidRPr="00FA502E">
        <w:t xml:space="preserve"> Remítase copia de la presente Resolución a las Presidencias de ambas Cámaras del Honorable Congreso de la Nación, a los bloques legislativos que las integran, a la Legislatura de la Provincia de Buenos Aires y al Centro de Ex Combatientes Islas Malvinas La Plata (CECIM La Plata).</w:t>
      </w:r>
    </w:p>
    <w:p w14:paraId="4F60E12A" w14:textId="3CF7F3B0" w:rsidR="0085793C" w:rsidRDefault="00FA502E" w:rsidP="001E25B7">
      <w:pPr>
        <w:jc w:val="both"/>
      </w:pPr>
      <w:r w:rsidRPr="00FA502E">
        <w:rPr>
          <w:b/>
          <w:bCs/>
        </w:rPr>
        <w:t>ARTÍCULO 6º.-</w:t>
      </w:r>
      <w:r w:rsidRPr="00FA502E">
        <w:t xml:space="preserve"> </w:t>
      </w:r>
      <w:r w:rsidR="001E25B7">
        <w:t>De forma.</w:t>
      </w:r>
    </w:p>
    <w:sectPr w:rsidR="0085793C" w:rsidSect="000C34E4">
      <w:headerReference w:type="first" r:id="rId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164B4" w14:textId="77777777" w:rsidR="00FC30E8" w:rsidRDefault="00FC30E8" w:rsidP="000C34E4">
      <w:pPr>
        <w:spacing w:after="0" w:line="240" w:lineRule="auto"/>
      </w:pPr>
      <w:r>
        <w:separator/>
      </w:r>
    </w:p>
  </w:endnote>
  <w:endnote w:type="continuationSeparator" w:id="0">
    <w:p w14:paraId="18962E3B" w14:textId="77777777" w:rsidR="00FC30E8" w:rsidRDefault="00FC30E8" w:rsidP="000C3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BF4635" w14:textId="77777777" w:rsidR="00FC30E8" w:rsidRDefault="00FC30E8" w:rsidP="000C34E4">
      <w:pPr>
        <w:spacing w:after="0" w:line="240" w:lineRule="auto"/>
      </w:pPr>
      <w:r>
        <w:separator/>
      </w:r>
    </w:p>
  </w:footnote>
  <w:footnote w:type="continuationSeparator" w:id="0">
    <w:p w14:paraId="1B7A7A7F" w14:textId="77777777" w:rsidR="00FC30E8" w:rsidRDefault="00FC30E8" w:rsidP="000C34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723D6" w14:textId="77777777" w:rsidR="000C34E4" w:rsidRPr="002B06A0" w:rsidRDefault="000C34E4" w:rsidP="000C34E4">
    <w:pPr>
      <w:spacing w:after="0" w:line="240" w:lineRule="auto"/>
      <w:ind w:left="170"/>
      <w:jc w:val="center"/>
      <w:rPr>
        <w:rFonts w:ascii="Footlight MT Light" w:eastAsia="Times New Roman" w:hAnsi="Footlight MT Light" w:cs="Times New Roman"/>
        <w:color w:val="000000"/>
        <w:kern w:val="0"/>
        <w:sz w:val="20"/>
        <w:szCs w:val="20"/>
        <w:lang w:eastAsia="es-ES"/>
        <w14:ligatures w14:val="none"/>
      </w:rPr>
    </w:pPr>
    <w:r w:rsidRPr="002B06A0">
      <w:rPr>
        <w:rFonts w:ascii="Footlight MT Light" w:eastAsia="Times New Roman" w:hAnsi="Footlight MT Light" w:cs="Times New Roman"/>
        <w:noProof/>
        <w:color w:val="000000"/>
        <w:kern w:val="0"/>
        <w:sz w:val="20"/>
        <w:szCs w:val="20"/>
        <w:lang w:val="en-US"/>
        <w14:ligatures w14:val="none"/>
      </w:rPr>
      <w:drawing>
        <wp:inline distT="0" distB="0" distL="0" distR="0" wp14:anchorId="5519E8A8" wp14:editId="5DFF53BD">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14:paraId="57E69B89" w14:textId="77777777" w:rsidR="000C34E4" w:rsidRPr="002B06A0" w:rsidRDefault="000C34E4" w:rsidP="000C34E4">
    <w:pPr>
      <w:keepNext/>
      <w:spacing w:after="0" w:line="240" w:lineRule="auto"/>
      <w:ind w:left="170"/>
      <w:jc w:val="center"/>
      <w:outlineLvl w:val="0"/>
      <w:rPr>
        <w:rFonts w:ascii="Times New Roman" w:eastAsia="Times New Roman" w:hAnsi="Times New Roman" w:cs="Times New Roman"/>
        <w:b/>
        <w:bCs/>
        <w:color w:val="000000"/>
        <w:kern w:val="0"/>
        <w:lang w:eastAsia="es-ES"/>
        <w14:ligatures w14:val="none"/>
      </w:rPr>
    </w:pPr>
    <w:r w:rsidRPr="002B06A0">
      <w:rPr>
        <w:rFonts w:ascii="Times New Roman" w:eastAsia="Times New Roman" w:hAnsi="Times New Roman" w:cs="Times New Roman"/>
        <w:b/>
        <w:bCs/>
        <w:color w:val="000000"/>
        <w:kern w:val="0"/>
        <w:lang w:eastAsia="es-ES"/>
        <w14:ligatures w14:val="none"/>
      </w:rPr>
      <w:t>Honorable Concejo Deliberante</w:t>
    </w:r>
  </w:p>
  <w:p w14:paraId="44E9CBF5" w14:textId="77777777" w:rsidR="000C34E4" w:rsidRPr="002B06A0" w:rsidRDefault="000C34E4" w:rsidP="000C34E4">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2B06A0">
      <w:rPr>
        <w:rFonts w:ascii="Times New Roman" w:eastAsia="Times New Roman" w:hAnsi="Times New Roman" w:cs="Times New Roman"/>
        <w:b/>
        <w:bCs/>
        <w:color w:val="000000"/>
        <w:kern w:val="0"/>
        <w:lang w:eastAsia="es-ES"/>
        <w14:ligatures w14:val="none"/>
      </w:rPr>
      <w:t>Mitre 38    -    Chascomús</w:t>
    </w:r>
  </w:p>
  <w:p w14:paraId="58425323" w14:textId="77777777" w:rsidR="000C34E4" w:rsidRPr="002B06A0" w:rsidRDefault="000C34E4" w:rsidP="000C34E4">
    <w:pPr>
      <w:spacing w:after="0" w:line="240" w:lineRule="auto"/>
      <w:ind w:left="170"/>
      <w:jc w:val="center"/>
      <w:rPr>
        <w:rFonts w:ascii="Times New Roman" w:eastAsia="Times New Roman" w:hAnsi="Times New Roman" w:cs="Times New Roman"/>
        <w:b/>
        <w:bCs/>
        <w:color w:val="000000"/>
        <w:kern w:val="0"/>
        <w:lang w:eastAsia="es-ES"/>
        <w14:ligatures w14:val="none"/>
      </w:rPr>
    </w:pPr>
    <w:r w:rsidRPr="002B06A0">
      <w:rPr>
        <w:rFonts w:ascii="Times New Roman" w:eastAsia="Times New Roman" w:hAnsi="Times New Roman" w:cs="Times New Roman"/>
        <w:b/>
        <w:bCs/>
        <w:color w:val="000000"/>
        <w:kern w:val="0"/>
        <w:lang w:eastAsia="es-ES"/>
        <w14:ligatures w14:val="none"/>
      </w:rPr>
      <w:t>Bloque UXCH / UXCH-FUERZA PATRIA</w:t>
    </w:r>
  </w:p>
  <w:p w14:paraId="037C5D74" w14:textId="77777777" w:rsidR="000C34E4" w:rsidRPr="002B06A0" w:rsidRDefault="000C34E4" w:rsidP="000C34E4">
    <w:pPr>
      <w:spacing w:after="0" w:line="240" w:lineRule="auto"/>
      <w:ind w:left="170"/>
      <w:jc w:val="center"/>
      <w:rPr>
        <w:rFonts w:ascii="Times New Roman" w:eastAsia="Times New Roman" w:hAnsi="Times New Roman" w:cs="Times New Roman"/>
        <w:b/>
        <w:kern w:val="0"/>
        <w:sz w:val="24"/>
        <w:szCs w:val="24"/>
        <w:lang w:val="es-ES_tradnl"/>
        <w14:ligatures w14:val="none"/>
      </w:rPr>
    </w:pPr>
    <w:r w:rsidRPr="002B06A0">
      <w:rPr>
        <w:rFonts w:ascii="Times New Roman" w:eastAsia="Times New Roman" w:hAnsi="Times New Roman" w:cs="Times New Roman"/>
        <w:b/>
        <w:bCs/>
        <w:color w:val="000000"/>
        <w:kern w:val="0"/>
        <w:lang w:eastAsia="es-ES"/>
        <w14:ligatures w14:val="none"/>
      </w:rPr>
      <w:t xml:space="preserve"> “</w:t>
    </w:r>
    <w:r w:rsidRPr="002B06A0">
      <w:rPr>
        <w:rFonts w:ascii="Times New Roman" w:eastAsia="Calibri" w:hAnsi="Times New Roman" w:cs="Times New Roman"/>
        <w:b/>
        <w:kern w:val="0"/>
        <w:lang w:val="es-ES"/>
        <w14:ligatures w14:val="none"/>
      </w:rPr>
      <w:t>2026: Año del 200° Aniversario de la Escuela Primaria N° 1 “Bernardino Rivadavia”</w:t>
    </w:r>
  </w:p>
  <w:p w14:paraId="14CCB66F" w14:textId="77777777" w:rsidR="000C34E4" w:rsidRPr="000C34E4" w:rsidRDefault="000C34E4">
    <w:pPr>
      <w:pStyle w:val="Encabezado"/>
      <w:rPr>
        <w:lang w:val="es-ES_trad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02E"/>
    <w:rsid w:val="00080844"/>
    <w:rsid w:val="000C34E4"/>
    <w:rsid w:val="001E25B7"/>
    <w:rsid w:val="00330DFE"/>
    <w:rsid w:val="004A56E1"/>
    <w:rsid w:val="0085793C"/>
    <w:rsid w:val="00AB5107"/>
    <w:rsid w:val="00B55CF4"/>
    <w:rsid w:val="00F26C8D"/>
    <w:rsid w:val="00FA502E"/>
    <w:rsid w:val="00FC30E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AA93A"/>
  <w15:chartTrackingRefBased/>
  <w15:docId w15:val="{50CFB77B-E71A-41B4-825D-281C4C0D3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FA50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A50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A502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A502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A502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A50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50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50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50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502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A502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A502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A502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A502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A50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50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50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502E"/>
    <w:rPr>
      <w:rFonts w:eastAsiaTheme="majorEastAsia" w:cstheme="majorBidi"/>
      <w:color w:val="272727" w:themeColor="text1" w:themeTint="D8"/>
    </w:rPr>
  </w:style>
  <w:style w:type="paragraph" w:styleId="Ttulo">
    <w:name w:val="Title"/>
    <w:basedOn w:val="Normal"/>
    <w:next w:val="Normal"/>
    <w:link w:val="TtuloCar"/>
    <w:uiPriority w:val="10"/>
    <w:qFormat/>
    <w:rsid w:val="00FA50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50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50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50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502E"/>
    <w:pPr>
      <w:spacing w:before="160"/>
      <w:jc w:val="center"/>
    </w:pPr>
    <w:rPr>
      <w:i/>
      <w:iCs/>
      <w:color w:val="404040" w:themeColor="text1" w:themeTint="BF"/>
    </w:rPr>
  </w:style>
  <w:style w:type="character" w:customStyle="1" w:styleId="CitaCar">
    <w:name w:val="Cita Car"/>
    <w:basedOn w:val="Fuentedeprrafopredeter"/>
    <w:link w:val="Cita"/>
    <w:uiPriority w:val="29"/>
    <w:rsid w:val="00FA502E"/>
    <w:rPr>
      <w:i/>
      <w:iCs/>
      <w:color w:val="404040" w:themeColor="text1" w:themeTint="BF"/>
    </w:rPr>
  </w:style>
  <w:style w:type="paragraph" w:styleId="Prrafodelista">
    <w:name w:val="List Paragraph"/>
    <w:basedOn w:val="Normal"/>
    <w:uiPriority w:val="34"/>
    <w:qFormat/>
    <w:rsid w:val="00FA502E"/>
    <w:pPr>
      <w:ind w:left="720"/>
      <w:contextualSpacing/>
    </w:pPr>
  </w:style>
  <w:style w:type="character" w:styleId="nfasisintenso">
    <w:name w:val="Intense Emphasis"/>
    <w:basedOn w:val="Fuentedeprrafopredeter"/>
    <w:uiPriority w:val="21"/>
    <w:qFormat/>
    <w:rsid w:val="00FA502E"/>
    <w:rPr>
      <w:i/>
      <w:iCs/>
      <w:color w:val="2F5496" w:themeColor="accent1" w:themeShade="BF"/>
    </w:rPr>
  </w:style>
  <w:style w:type="paragraph" w:styleId="Citadestacada">
    <w:name w:val="Intense Quote"/>
    <w:basedOn w:val="Normal"/>
    <w:next w:val="Normal"/>
    <w:link w:val="CitadestacadaCar"/>
    <w:uiPriority w:val="30"/>
    <w:qFormat/>
    <w:rsid w:val="00FA50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A502E"/>
    <w:rPr>
      <w:i/>
      <w:iCs/>
      <w:color w:val="2F5496" w:themeColor="accent1" w:themeShade="BF"/>
    </w:rPr>
  </w:style>
  <w:style w:type="character" w:styleId="Referenciaintensa">
    <w:name w:val="Intense Reference"/>
    <w:basedOn w:val="Fuentedeprrafopredeter"/>
    <w:uiPriority w:val="32"/>
    <w:qFormat/>
    <w:rsid w:val="00FA502E"/>
    <w:rPr>
      <w:b/>
      <w:bCs/>
      <w:smallCaps/>
      <w:color w:val="2F5496" w:themeColor="accent1" w:themeShade="BF"/>
      <w:spacing w:val="5"/>
    </w:rPr>
  </w:style>
  <w:style w:type="paragraph" w:styleId="Encabezado">
    <w:name w:val="header"/>
    <w:basedOn w:val="Normal"/>
    <w:link w:val="EncabezadoCar"/>
    <w:uiPriority w:val="99"/>
    <w:unhideWhenUsed/>
    <w:rsid w:val="000C34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C34E4"/>
  </w:style>
  <w:style w:type="paragraph" w:styleId="Piedepgina">
    <w:name w:val="footer"/>
    <w:basedOn w:val="Normal"/>
    <w:link w:val="PiedepginaCar"/>
    <w:uiPriority w:val="99"/>
    <w:unhideWhenUsed/>
    <w:rsid w:val="000C34E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C3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1180</Words>
  <Characters>6730</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lucioalfonsin@gmail.com</dc:creator>
  <cp:keywords/>
  <dc:description/>
  <cp:lastModifiedBy>SIMM</cp:lastModifiedBy>
  <cp:revision>2</cp:revision>
  <dcterms:created xsi:type="dcterms:W3CDTF">2026-10-06T12:53:00Z</dcterms:created>
  <dcterms:modified xsi:type="dcterms:W3CDTF">2026-10-06T12:53:00Z</dcterms:modified>
</cp:coreProperties>
</file>