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C68E8" w:rsidRDefault="00BC51F6">
      <w:pPr>
        <w:jc w:val="right"/>
        <w:rPr>
          <w:rFonts w:ascii="Arial" w:eastAsia="Arial" w:hAnsi="Arial" w:cs="Arial"/>
        </w:rPr>
      </w:pPr>
      <w:bookmarkStart w:id="0" w:name="_heading=h.42bue9yqclq" w:colFirst="0" w:colLast="0"/>
      <w:bookmarkStart w:id="1" w:name="_GoBack"/>
      <w:bookmarkEnd w:id="0"/>
      <w:bookmarkEnd w:id="1"/>
      <w:r>
        <w:rPr>
          <w:rFonts w:ascii="Arial" w:eastAsia="Arial" w:hAnsi="Arial" w:cs="Arial"/>
        </w:rPr>
        <w:t>Chascomús, 15 de mayo de 2025.-</w:t>
      </w:r>
    </w:p>
    <w:p w14:paraId="00000002" w14:textId="77777777" w:rsidR="002C68E8" w:rsidRDefault="002C68E8">
      <w:pPr>
        <w:jc w:val="both"/>
        <w:rPr>
          <w:rFonts w:ascii="Arial" w:eastAsia="Arial" w:hAnsi="Arial" w:cs="Arial"/>
          <w:color w:val="000000"/>
        </w:rPr>
      </w:pPr>
    </w:p>
    <w:p w14:paraId="00000003" w14:textId="77777777" w:rsidR="002C68E8" w:rsidRDefault="002C68E8">
      <w:pPr>
        <w:jc w:val="both"/>
        <w:rPr>
          <w:rFonts w:ascii="Arial" w:eastAsia="Arial" w:hAnsi="Arial" w:cs="Arial"/>
          <w:color w:val="000000"/>
        </w:rPr>
      </w:pPr>
    </w:p>
    <w:p w14:paraId="00000004" w14:textId="77777777" w:rsidR="002C68E8" w:rsidRDefault="00BC51F6">
      <w:pPr>
        <w:spacing w:after="120" w:line="360" w:lineRule="auto"/>
        <w:rPr>
          <w:rFonts w:ascii="Arial" w:eastAsia="Arial" w:hAnsi="Arial" w:cs="Arial"/>
          <w:b/>
          <w:sz w:val="24"/>
          <w:szCs w:val="24"/>
        </w:rPr>
      </w:pPr>
      <w:r>
        <w:rPr>
          <w:rFonts w:ascii="Arial" w:eastAsia="Arial" w:hAnsi="Arial" w:cs="Arial"/>
          <w:b/>
          <w:sz w:val="24"/>
          <w:szCs w:val="24"/>
        </w:rPr>
        <w:t>DESPACHO: RENDICIÓN DE CUENTAS DEL EJERCICIO 2024</w:t>
      </w:r>
    </w:p>
    <w:p w14:paraId="00000005" w14:textId="77777777" w:rsidR="002C68E8" w:rsidRDefault="002C68E8">
      <w:pPr>
        <w:spacing w:after="120" w:line="360" w:lineRule="auto"/>
        <w:rPr>
          <w:rFonts w:ascii="Arial" w:eastAsia="Arial" w:hAnsi="Arial" w:cs="Arial"/>
          <w:b/>
          <w:sz w:val="24"/>
          <w:szCs w:val="24"/>
        </w:rPr>
      </w:pPr>
    </w:p>
    <w:p w14:paraId="00000006" w14:textId="77777777" w:rsidR="002C68E8" w:rsidRDefault="00BC51F6">
      <w:pPr>
        <w:spacing w:before="80" w:after="80" w:line="360" w:lineRule="auto"/>
        <w:jc w:val="both"/>
        <w:rPr>
          <w:rFonts w:ascii="Arial" w:eastAsia="Arial" w:hAnsi="Arial" w:cs="Arial"/>
          <w:b/>
          <w:sz w:val="24"/>
          <w:szCs w:val="24"/>
        </w:rPr>
      </w:pPr>
      <w:r>
        <w:rPr>
          <w:rFonts w:ascii="Arial" w:eastAsia="Arial" w:hAnsi="Arial" w:cs="Arial"/>
          <w:b/>
          <w:sz w:val="24"/>
          <w:szCs w:val="24"/>
        </w:rPr>
        <w:t>Visto:</w:t>
      </w:r>
    </w:p>
    <w:p w14:paraId="00000007" w14:textId="77777777" w:rsidR="002C68E8" w:rsidRDefault="00BC51F6">
      <w:pPr>
        <w:spacing w:before="80" w:after="80" w:line="360" w:lineRule="auto"/>
        <w:jc w:val="both"/>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sz w:val="24"/>
          <w:szCs w:val="24"/>
        </w:rPr>
        <w:t>La documentación respaldatoria remitida por el Departamento Ejecutivo a este Honorable Concejo Deliberante correspondiente a la Rendición de Cuentas del Ejercicio 2024 en el marco del Artículo 23º de la Ley 10.869 y Artículo 229º del Reglamento de Contabil</w:t>
      </w:r>
      <w:r>
        <w:rPr>
          <w:rFonts w:ascii="Arial" w:eastAsia="Arial" w:hAnsi="Arial" w:cs="Arial"/>
          <w:sz w:val="24"/>
          <w:szCs w:val="24"/>
        </w:rPr>
        <w:t>idad y Disposiciones Administrativas para las Municipalidades de la Provincia de Buenos Aires; y:</w:t>
      </w:r>
    </w:p>
    <w:p w14:paraId="00000008" w14:textId="77777777" w:rsidR="002C68E8" w:rsidRDefault="00BC51F6">
      <w:pPr>
        <w:spacing w:before="80" w:after="80" w:line="360" w:lineRule="auto"/>
        <w:jc w:val="both"/>
        <w:rPr>
          <w:rFonts w:ascii="Arial" w:eastAsia="Arial" w:hAnsi="Arial" w:cs="Arial"/>
          <w:b/>
          <w:sz w:val="24"/>
          <w:szCs w:val="24"/>
        </w:rPr>
      </w:pPr>
      <w:r>
        <w:rPr>
          <w:rFonts w:ascii="Arial" w:eastAsia="Arial" w:hAnsi="Arial" w:cs="Arial"/>
          <w:b/>
          <w:sz w:val="24"/>
          <w:szCs w:val="24"/>
        </w:rPr>
        <w:t xml:space="preserve">Considerando: </w:t>
      </w:r>
    </w:p>
    <w:p w14:paraId="00000009"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con fecha 28/12/2023 el Honorable Concejo Deliberante de Chascomús sancionó el Presupuesto de Gastos y Cálculo de Recursos correspondiente </w:t>
      </w:r>
      <w:r>
        <w:rPr>
          <w:rFonts w:ascii="Arial" w:eastAsia="Arial" w:hAnsi="Arial" w:cs="Arial"/>
          <w:sz w:val="24"/>
          <w:szCs w:val="24"/>
        </w:rPr>
        <w:t>al Ejercicio 2024, bajo Ordenanza N.º 5770, promulgada y derogada parcialmente por Decreto Nº 1184/23 de fecha 29/12/2023, del Departamento Ejecutivo.</w:t>
      </w:r>
    </w:p>
    <w:p w14:paraId="0000000A"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con fecha 31 de marzo de 2025 se dio ingreso por Secretaría de éste Honorable Cuerpo, mediante Nota N</w:t>
      </w:r>
      <w:r>
        <w:rPr>
          <w:rFonts w:ascii="Arial" w:eastAsia="Arial" w:hAnsi="Arial" w:cs="Arial"/>
          <w:sz w:val="24"/>
          <w:szCs w:val="24"/>
        </w:rPr>
        <w:t>° 78 de Mesa de Entradas del mismo, a la documentación respaldatoria de la Rendición de Cuentas de la Municipalidad de Chascomús, correspondiente al Ejercicio 2024; habiendo tomado estado deliberativo en la Tercer Sesión Ordinaria con fecha del 10 de abril</w:t>
      </w:r>
      <w:r>
        <w:rPr>
          <w:rFonts w:ascii="Arial" w:eastAsia="Arial" w:hAnsi="Arial" w:cs="Arial"/>
          <w:sz w:val="24"/>
          <w:szCs w:val="24"/>
        </w:rPr>
        <w:t xml:space="preserve"> de 2025 .-</w:t>
      </w:r>
    </w:p>
    <w:p w14:paraId="0000000B"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dicha documentación respaldatoria contempla la Ejecución Presupuestaria correspondientes al Cálculo de Recursos y Presupuesto de Gastos inherente al Ejercicio 2024 de la Municipalidad de Chascomús, como así también la adecuada Ejecución de </w:t>
      </w:r>
      <w:r>
        <w:rPr>
          <w:rFonts w:ascii="Arial" w:eastAsia="Arial" w:hAnsi="Arial" w:cs="Arial"/>
          <w:sz w:val="24"/>
          <w:szCs w:val="24"/>
        </w:rPr>
        <w:t>Gastos correspondiente al Honorable Concejo Deliberante.-</w:t>
      </w:r>
    </w:p>
    <w:p w14:paraId="0000000C"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la documentación acompañada se enmarca en lo establecido por la Resolución N° 449/2011 del Honorable Tribunal de Cuentas de la Provincia de Buenos Aires. Dicha Resolución es consecuencia de la s</w:t>
      </w:r>
      <w:r>
        <w:rPr>
          <w:rFonts w:ascii="Arial" w:eastAsia="Arial" w:hAnsi="Arial" w:cs="Arial"/>
          <w:sz w:val="24"/>
          <w:szCs w:val="24"/>
        </w:rPr>
        <w:t xml:space="preserve">anción de la Ley 13.963, mediante la cual se modificó la Ley Orgánica del Honorable Tribunal de Cuentas. La misma refiere a la documentación que el Departamento Ejecutivo debe presentar ante el Concejo Deliberante, como así también en cuanto a la que debe </w:t>
      </w:r>
      <w:r>
        <w:rPr>
          <w:rFonts w:ascii="Arial" w:eastAsia="Arial" w:hAnsi="Arial" w:cs="Arial"/>
          <w:sz w:val="24"/>
          <w:szCs w:val="24"/>
        </w:rPr>
        <w:t xml:space="preserve">elevarse al Honorable Tribunal de Cuentas.- </w:t>
      </w:r>
    </w:p>
    <w:p w14:paraId="0000000D"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según lo establece la Ley Orgánica de las Municipalidades en su Art. 65º "Corresponde al Concejo el examen de las cuentas de la administración municipal... " Que el referido examen tiene por finalidad verifi</w:t>
      </w:r>
      <w:r>
        <w:rPr>
          <w:rFonts w:ascii="Arial" w:eastAsia="Arial" w:hAnsi="Arial" w:cs="Arial"/>
          <w:sz w:val="24"/>
          <w:szCs w:val="24"/>
        </w:rPr>
        <w:t xml:space="preserve">car no sólo la observancia de las normas contables que rigen el desenvolvimiento económico y financiero de la Municipalidad de Chascomús, sino y fundamentalmente, el cumplimiento del compromiso político asumido por la Administración Municipal en cuanto al </w:t>
      </w:r>
      <w:r>
        <w:rPr>
          <w:rFonts w:ascii="Arial" w:eastAsia="Arial" w:hAnsi="Arial" w:cs="Arial"/>
          <w:sz w:val="24"/>
          <w:szCs w:val="24"/>
        </w:rPr>
        <w:t xml:space="preserve">uso del dinero público, reflejado anualmente en el Cálculo de Recursos y Presupuesto de Gastos que aprueba este Concejo.- </w:t>
      </w:r>
    </w:p>
    <w:p w14:paraId="0000000E" w14:textId="77777777" w:rsidR="002C68E8" w:rsidRDefault="00BC51F6">
      <w:pPr>
        <w:spacing w:after="0" w:line="276" w:lineRule="auto"/>
        <w:ind w:firstLine="850"/>
        <w:jc w:val="both"/>
        <w:rPr>
          <w:rFonts w:ascii="Arial" w:eastAsia="Arial" w:hAnsi="Arial" w:cs="Arial"/>
          <w:b/>
          <w:sz w:val="24"/>
          <w:szCs w:val="24"/>
        </w:rPr>
      </w:pPr>
      <w:r>
        <w:rPr>
          <w:rFonts w:ascii="Arial" w:eastAsia="Arial" w:hAnsi="Arial" w:cs="Arial"/>
          <w:sz w:val="24"/>
          <w:szCs w:val="24"/>
        </w:rPr>
        <w:t>Qué el Artículo 66 de la Ley Orgánica de las Municipalidades para la Provincia de Buenos Aires, establece que el Honorable Concejo De</w:t>
      </w:r>
      <w:r>
        <w:rPr>
          <w:rFonts w:ascii="Arial" w:eastAsia="Arial" w:hAnsi="Arial" w:cs="Arial"/>
          <w:sz w:val="24"/>
          <w:szCs w:val="24"/>
        </w:rPr>
        <w:t>liberante deberá tratar la misma, dentro de los sesenta (60) días de ingresada.-</w:t>
      </w:r>
    </w:p>
    <w:p w14:paraId="0000000F"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si bien es el Honorable Tribunal de Cuentas la única autoridad que puede aprobar o desaprobar definitivamente las cuentas rendidas por los Municipios (art. 15 Ley 10869), </w:t>
      </w:r>
      <w:r>
        <w:rPr>
          <w:rFonts w:ascii="Arial" w:eastAsia="Arial" w:hAnsi="Arial" w:cs="Arial"/>
          <w:sz w:val="24"/>
          <w:szCs w:val="24"/>
        </w:rPr>
        <w:t xml:space="preserve">es facultad que la Ley Orgánica atribuye a los Concejos </w:t>
      </w:r>
      <w:r>
        <w:rPr>
          <w:rFonts w:ascii="Arial" w:eastAsia="Arial" w:hAnsi="Arial" w:cs="Arial"/>
          <w:sz w:val="24"/>
          <w:szCs w:val="24"/>
        </w:rPr>
        <w:lastRenderedPageBreak/>
        <w:t>Deliberantes, como entidad representativa de los vecinos, para permitir un conocimiento general de la ejecución del presupuesto.</w:t>
      </w:r>
    </w:p>
    <w:p w14:paraId="00000010"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del análisis de la documentación remitida por el intendente Gastón,</w:t>
      </w:r>
      <w:r>
        <w:rPr>
          <w:rFonts w:ascii="Arial" w:eastAsia="Arial" w:hAnsi="Arial" w:cs="Arial"/>
          <w:sz w:val="24"/>
          <w:szCs w:val="24"/>
        </w:rPr>
        <w:t xml:space="preserve"> se desprende que los montos devengados, de $ 26.322.114.885,80 no exceden los montos aprobados como crédito, con más sus ampliaciones ($ 29.929.104.961,11), lo que implica que no se han excedido dichos límites, por lo que se da cumplimiento a lo dispuesto</w:t>
      </w:r>
      <w:r>
        <w:rPr>
          <w:rFonts w:ascii="Arial" w:eastAsia="Arial" w:hAnsi="Arial" w:cs="Arial"/>
          <w:sz w:val="24"/>
          <w:szCs w:val="24"/>
        </w:rPr>
        <w:t xml:space="preserve"> tanto por Ley Orgánica de las Municipalidades, el Reglamento de Contabilidad y el Régimen de Administración Financiera para Municipios.</w:t>
      </w:r>
    </w:p>
    <w:p w14:paraId="00000011"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de dichos gastos, $ 22.669.953.897,66 se afrontaron con fondos de libre disponibilidad, mientras que el resto de l</w:t>
      </w:r>
      <w:r>
        <w:rPr>
          <w:rFonts w:ascii="Arial" w:eastAsia="Arial" w:hAnsi="Arial" w:cs="Arial"/>
          <w:sz w:val="24"/>
          <w:szCs w:val="24"/>
        </w:rPr>
        <w:t>os gastos correspondieron a fondos afectados.</w:t>
      </w:r>
    </w:p>
    <w:p w14:paraId="00000012"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los saldos de todas las cuentas al cierre del ejercicio están respaldados con los saldos bancarios correspondientes.</w:t>
      </w:r>
    </w:p>
    <w:p w14:paraId="00000013"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en lo que hace al análisis particular respecto de las compras y contrataciones, eroga</w:t>
      </w:r>
      <w:r>
        <w:rPr>
          <w:rFonts w:ascii="Arial" w:eastAsia="Arial" w:hAnsi="Arial" w:cs="Arial"/>
          <w:sz w:val="24"/>
          <w:szCs w:val="24"/>
        </w:rPr>
        <w:t xml:space="preserve">ciones, emisión de órdenes de pago, etc., este Concejo entiende que el examen final corresponde al Honorable Tribunal de Cuentas, organismo especializado que cuenta con los recursos humanos y técnicos necesarios para llevar adelante un estudio detallado y </w:t>
      </w:r>
      <w:r>
        <w:rPr>
          <w:rFonts w:ascii="Arial" w:eastAsia="Arial" w:hAnsi="Arial" w:cs="Arial"/>
          <w:sz w:val="24"/>
          <w:szCs w:val="24"/>
        </w:rPr>
        <w:t>pormenorizado, tarea que resulta compleja por el alto nivel técnico, sujetándose este Concejo a las resultas del correspondiente análisis.</w:t>
      </w:r>
    </w:p>
    <w:p w14:paraId="00000014"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no obstante ello, cabe destacar que el ejercicio 2024 mantiene las cuentas fiscales equilibradas, tal cual lo de</w:t>
      </w:r>
      <w:r>
        <w:rPr>
          <w:rFonts w:ascii="Arial" w:eastAsia="Arial" w:hAnsi="Arial" w:cs="Arial"/>
          <w:sz w:val="24"/>
          <w:szCs w:val="24"/>
        </w:rPr>
        <w:t>termina el artículo 31 de la Ley Orgánica de las Municipalidades, observándose un Resultado presupuestario positivo (Recursos corrientes y de Capital, menos Gastos Corrientes y de Capital) que alcanza los $ 2.361.027.483,44, que, si se incorporan los saldo</w:t>
      </w:r>
      <w:r>
        <w:rPr>
          <w:rFonts w:ascii="Arial" w:eastAsia="Arial" w:hAnsi="Arial" w:cs="Arial"/>
          <w:sz w:val="24"/>
          <w:szCs w:val="24"/>
        </w:rPr>
        <w:t>s de caja al inicio y se detraen los servicios de la deuda, asciende a la suma de $ 3.190.761.616,23, que es el Resultado según el artículo 44º del Decreto 2980/00 (Reglamentario de la Ley Orgánica de las Municipalidades), representando poco más del 12% de</w:t>
      </w:r>
      <w:r>
        <w:rPr>
          <w:rFonts w:ascii="Arial" w:eastAsia="Arial" w:hAnsi="Arial" w:cs="Arial"/>
          <w:sz w:val="24"/>
          <w:szCs w:val="24"/>
        </w:rPr>
        <w:t>l total de gastos devengados.-</w:t>
      </w:r>
    </w:p>
    <w:p w14:paraId="00000015"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asimismo, del cuadro CAIF 2024 se desprende que, a pesar del Ahorro Corriente generado, no pudieron sostenerse los niveles de las inversiones en infraestructura de ejercicios anteriores, por el retiro del financiamiento </w:t>
      </w:r>
      <w:r>
        <w:rPr>
          <w:rFonts w:ascii="Arial" w:eastAsia="Arial" w:hAnsi="Arial" w:cs="Arial"/>
          <w:sz w:val="24"/>
          <w:szCs w:val="24"/>
        </w:rPr>
        <w:t xml:space="preserve">por parte del gobierno nacional, tanto a los municipios como a la provincia de Buenos Aires, derrumbándose al 4,5% del total del presupuesto ejecutado (en los años 2023 y 2024 el índice de inversión fue del 15%). </w:t>
      </w:r>
    </w:p>
    <w:p w14:paraId="00000016"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este indicador, tal como se preveía, h</w:t>
      </w:r>
      <w:r>
        <w:rPr>
          <w:rFonts w:ascii="Arial" w:eastAsia="Arial" w:hAnsi="Arial" w:cs="Arial"/>
          <w:sz w:val="24"/>
          <w:szCs w:val="24"/>
        </w:rPr>
        <w:t>a sido el más bajo de los últimos 20 años, sólo sostenido por el financiamiento residual por parte de la provincia de Buenos Aires que, a pesar de haberse visto profundamente afectada por la detracción de recursos coparticipables, ha continuado algunas obr</w:t>
      </w:r>
      <w:r>
        <w:rPr>
          <w:rFonts w:ascii="Arial" w:eastAsia="Arial" w:hAnsi="Arial" w:cs="Arial"/>
          <w:sz w:val="24"/>
          <w:szCs w:val="24"/>
        </w:rPr>
        <w:t xml:space="preserve">as licitadas en forma directa (que no se reflejan en la ejecución presupuestaria municipal, tal es el caso de la construcción de la planta depuradora), como así también financió obras ejecutadas por la Municipalidad (Puesta en valor de “La Casita”, Centro </w:t>
      </w:r>
      <w:r>
        <w:rPr>
          <w:rFonts w:ascii="Arial" w:eastAsia="Arial" w:hAnsi="Arial" w:cs="Arial"/>
          <w:sz w:val="24"/>
          <w:szCs w:val="24"/>
        </w:rPr>
        <w:t>Universitario) y continuó los trámites necesarios para licitar las obras de la “cloaca máxima” y la financiación de 96 viviendas, cuya ejecución ya ha sido adjudicada por la Municipalidad.</w:t>
      </w:r>
    </w:p>
    <w:p w14:paraId="00000017"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no obstante, el superávit alcanzado ha sido un respaldo import</w:t>
      </w:r>
      <w:r>
        <w:rPr>
          <w:rFonts w:ascii="Arial" w:eastAsia="Arial" w:hAnsi="Arial" w:cs="Arial"/>
          <w:sz w:val="24"/>
          <w:szCs w:val="24"/>
        </w:rPr>
        <w:t>ante para el corriente ejercicio, donde la caída de la actividad y otras medidas del gobierno nacional, trajeron como consecuencia una baja del 20% en términos reales de los fondos coparticipables durante el primer cuatrimestre.</w:t>
      </w:r>
    </w:p>
    <w:p w14:paraId="00000018"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el HCD realiza una eval</w:t>
      </w:r>
      <w:r>
        <w:rPr>
          <w:rFonts w:ascii="Arial" w:eastAsia="Arial" w:hAnsi="Arial" w:cs="Arial"/>
          <w:sz w:val="24"/>
          <w:szCs w:val="24"/>
        </w:rPr>
        <w:t>uación política de las cuentas, su transparencia, orden y lo que con ello se logra en servicios, obras, infraestructura y equipamiento para el municipio.</w:t>
      </w:r>
    </w:p>
    <w:p w14:paraId="00000019"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lastRenderedPageBreak/>
        <w:t>Que la Rendición de Cuentas del Ejercicio 2023 fue desaprobada por los bloques de concejales de la oposición de este Concejo Deliberante a través de la mayoría automática con la que cuenta, quedando nuevamente sus argumentos totalmente rebatidos con el fal</w:t>
      </w:r>
      <w:r>
        <w:rPr>
          <w:rFonts w:ascii="Arial" w:eastAsia="Arial" w:hAnsi="Arial" w:cs="Arial"/>
          <w:sz w:val="24"/>
          <w:szCs w:val="24"/>
        </w:rPr>
        <w:t>lo Nº 986/24 del Honorable Tribunal de Cuentas quien aprobó la rendición de cuentas 2023, basado en las tareas efectuadas por los profesionales del ente auditor.</w:t>
      </w:r>
    </w:p>
    <w:p w14:paraId="0000001A"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es necesario reconocer el trabajo realizado con responsabilidad, profesionalismo y transpa</w:t>
      </w:r>
      <w:r>
        <w:rPr>
          <w:rFonts w:ascii="Arial" w:eastAsia="Arial" w:hAnsi="Arial" w:cs="Arial"/>
          <w:sz w:val="24"/>
          <w:szCs w:val="24"/>
        </w:rPr>
        <w:t xml:space="preserve">rencia, que lleva a cabo la Secretaría de Hacienda del Departamento Ejecutivo Municipal, </w:t>
      </w:r>
      <w:r>
        <w:rPr>
          <w:rFonts w:ascii="Arial" w:eastAsia="Arial" w:hAnsi="Arial" w:cs="Arial"/>
          <w:b/>
          <w:sz w:val="24"/>
          <w:szCs w:val="24"/>
        </w:rPr>
        <w:t xml:space="preserve">con cuentas en equilibrio </w:t>
      </w:r>
      <w:r>
        <w:rPr>
          <w:rFonts w:ascii="Arial" w:eastAsia="Arial" w:hAnsi="Arial" w:cs="Arial"/>
          <w:sz w:val="24"/>
          <w:szCs w:val="24"/>
        </w:rPr>
        <w:t xml:space="preserve">que permiten </w:t>
      </w:r>
      <w:r>
        <w:rPr>
          <w:rFonts w:ascii="Arial" w:eastAsia="Arial" w:hAnsi="Arial" w:cs="Arial"/>
          <w:b/>
          <w:sz w:val="24"/>
          <w:szCs w:val="24"/>
        </w:rPr>
        <w:t>garantizar los servicios esenciales</w:t>
      </w:r>
      <w:r>
        <w:rPr>
          <w:rFonts w:ascii="Arial" w:eastAsia="Arial" w:hAnsi="Arial" w:cs="Arial"/>
          <w:sz w:val="24"/>
          <w:szCs w:val="24"/>
        </w:rPr>
        <w:t xml:space="preserve"> y </w:t>
      </w:r>
      <w:r>
        <w:rPr>
          <w:rFonts w:ascii="Arial" w:eastAsia="Arial" w:hAnsi="Arial" w:cs="Arial"/>
          <w:b/>
          <w:sz w:val="24"/>
          <w:szCs w:val="24"/>
        </w:rPr>
        <w:t>afrontar pagos a proveedores, abonar los sueldos en tiempo y forma</w:t>
      </w:r>
      <w:r>
        <w:rPr>
          <w:rFonts w:ascii="Arial" w:eastAsia="Arial" w:hAnsi="Arial" w:cs="Arial"/>
          <w:sz w:val="24"/>
          <w:szCs w:val="24"/>
        </w:rPr>
        <w:t xml:space="preserve">, sin desdoblamientos y </w:t>
      </w:r>
      <w:r>
        <w:rPr>
          <w:rFonts w:ascii="Arial" w:eastAsia="Arial" w:hAnsi="Arial" w:cs="Arial"/>
          <w:sz w:val="24"/>
          <w:szCs w:val="24"/>
        </w:rPr>
        <w:t xml:space="preserve">cumpliendo con los acuerdos paritarios (que durante el año 2024 tuvieron una mejora del 190% y en lo que va de este año, del 26%), entre otras obligaciones.                                       </w:t>
      </w:r>
    </w:p>
    <w:p w14:paraId="0000001B"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más allá de las consideraciones políticas, económicas y </w:t>
      </w:r>
      <w:r>
        <w:rPr>
          <w:rFonts w:ascii="Arial" w:eastAsia="Arial" w:hAnsi="Arial" w:cs="Arial"/>
          <w:sz w:val="24"/>
          <w:szCs w:val="24"/>
        </w:rPr>
        <w:t>financieras que podamos realizar de manera individual o conjunta desde el ámbito de este Cuerpo Deliberativo —facultado para transmitir a los vecinos el resultado que arroje el estudio de la Rendición de Cuentas del Ejercicio 2024—, el Departamento Ejecuti</w:t>
      </w:r>
      <w:r>
        <w:rPr>
          <w:rFonts w:ascii="Arial" w:eastAsia="Arial" w:hAnsi="Arial" w:cs="Arial"/>
          <w:sz w:val="24"/>
          <w:szCs w:val="24"/>
        </w:rPr>
        <w:t xml:space="preserve">vo Municipal continuó, incluso en un contexto de fuerte crisis económica y profunda retracción del Estado Nacional, preocupándose y ocupándose de gestiones concretas para mejorar la calidad de vida de la comunidad, sosteniendo una gestión comprometida con </w:t>
      </w:r>
      <w:r>
        <w:rPr>
          <w:rFonts w:ascii="Arial" w:eastAsia="Arial" w:hAnsi="Arial" w:cs="Arial"/>
          <w:sz w:val="24"/>
          <w:szCs w:val="24"/>
        </w:rPr>
        <w:t>la equidad y el fortalecimiento de los servicios públicos, priorizando el bien común."</w:t>
      </w:r>
    </w:p>
    <w:p w14:paraId="0000001C"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en el </w:t>
      </w:r>
      <w:r>
        <w:rPr>
          <w:rFonts w:ascii="Arial" w:eastAsia="Arial" w:hAnsi="Arial" w:cs="Arial"/>
          <w:b/>
          <w:sz w:val="24"/>
          <w:szCs w:val="24"/>
        </w:rPr>
        <w:t>área de desarrollo social, primera infancia y juventudes</w:t>
      </w:r>
      <w:r>
        <w:rPr>
          <w:rFonts w:ascii="Arial" w:eastAsia="Arial" w:hAnsi="Arial" w:cs="Arial"/>
          <w:sz w:val="24"/>
          <w:szCs w:val="24"/>
        </w:rPr>
        <w:t xml:space="preserve">, se consolidó el trabajo en los Espacios de Primera Infancia y el acompañamiento territorial a través </w:t>
      </w:r>
      <w:r>
        <w:rPr>
          <w:rFonts w:ascii="Arial" w:eastAsia="Arial" w:hAnsi="Arial" w:cs="Arial"/>
          <w:sz w:val="24"/>
          <w:szCs w:val="24"/>
        </w:rPr>
        <w:t>de programas como “La Muni en tu Barrio”. En materia de programas, servicios y políticas públicas, aún en un contexto donde la pobreza superó el 57%, el peor índice desde la crisis de 2001/2002, se logró sostener y ampliar durante el año 2024 programas com</w:t>
      </w:r>
      <w:r>
        <w:rPr>
          <w:rFonts w:ascii="Arial" w:eastAsia="Arial" w:hAnsi="Arial" w:cs="Arial"/>
          <w:sz w:val="24"/>
          <w:szCs w:val="24"/>
        </w:rPr>
        <w:t>o “Juventudes Cuidadas”, talleres y capacitaciones para jóvenes y equipos que trabajan con jóvenes en el marco del programa: sobre ludopatía, uso de redes y fortalecimiento de equipos, incorporación del botón de emergencia Alerta Joven.</w:t>
      </w:r>
    </w:p>
    <w:p w14:paraId="0000001D"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se realizó la a</w:t>
      </w:r>
      <w:r>
        <w:rPr>
          <w:rFonts w:ascii="Arial" w:eastAsia="Arial" w:hAnsi="Arial" w:cs="Arial"/>
          <w:sz w:val="24"/>
          <w:szCs w:val="24"/>
        </w:rPr>
        <w:t>pertura del Centro de Juventudes con talleres y espacios de formación para jóvenes en el SUM del Barrio Iporá, como también la apertura del Centro Universitario y convenio con dos Universidades para el dictado de Tecnicaturas (UNQui) y Diplomaturas (UNSAM)</w:t>
      </w:r>
      <w:r>
        <w:rPr>
          <w:rFonts w:ascii="Arial" w:eastAsia="Arial" w:hAnsi="Arial" w:cs="Arial"/>
          <w:sz w:val="24"/>
          <w:szCs w:val="24"/>
        </w:rPr>
        <w:t>, como el acompañamiento a través del Boleto Estudiantil para el traslado de estudiantes a Ranchos. Se realizó convenio con la DGCyE para la obra de refacción integral de la Escuela Nº 1 Bernardino Rivadavia.</w:t>
      </w:r>
    </w:p>
    <w:p w14:paraId="0000001E"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se realizó la obra de remodelación y ampliación del Hogar Convivencial “La Casita”, y se brindó acompañamiento económico para el desarrollo de propuestas educativas distritales: Escuela de Verano, Jóvenes y Memoria, Feria ACTE, encuentros modalidad esp</w:t>
      </w:r>
      <w:r>
        <w:rPr>
          <w:rFonts w:ascii="Arial" w:eastAsia="Arial" w:hAnsi="Arial" w:cs="Arial"/>
          <w:sz w:val="24"/>
          <w:szCs w:val="24"/>
        </w:rPr>
        <w:t>ecial y viajes de egresados de nivel primario.</w:t>
      </w:r>
    </w:p>
    <w:p w14:paraId="0000001F"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se amplió y mejoró el programa alimentario “CAM” (Complemento Alimentario Municipal), incorporando módulos diferenciados por cantidad de productos según número de integrantes de la familia y, además, la en</w:t>
      </w:r>
      <w:r>
        <w:rPr>
          <w:rFonts w:ascii="Arial" w:eastAsia="Arial" w:hAnsi="Arial" w:cs="Arial"/>
          <w:sz w:val="24"/>
          <w:szCs w:val="24"/>
        </w:rPr>
        <w:t>trega de frutas y verduras para todos los grupos familiares incluidos en el programa (antes solo se entregaban a personas mayores).</w:t>
      </w:r>
    </w:p>
    <w:p w14:paraId="00000020"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se brindaron talleres de digitalización para personas mayores y se implementó el Programa Municipal de Abordaje y Preven</w:t>
      </w:r>
      <w:r>
        <w:rPr>
          <w:rFonts w:ascii="Arial" w:eastAsia="Arial" w:hAnsi="Arial" w:cs="Arial"/>
          <w:sz w:val="24"/>
          <w:szCs w:val="24"/>
        </w:rPr>
        <w:t>ción de la Violencia Obstétrica.</w:t>
      </w:r>
    </w:p>
    <w:p w14:paraId="00000021"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lastRenderedPageBreak/>
        <w:t>Que con el fin de reforzar los lazos comunitarios se realizaron diferentes actividades en el espacio público: Día Internacional de la Acción Solidaria, Plaza Navideña y “Vamos a la Plaza”.</w:t>
      </w:r>
    </w:p>
    <w:p w14:paraId="00000022"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en</w:t>
      </w:r>
      <w:r>
        <w:rPr>
          <w:rFonts w:ascii="Arial" w:eastAsia="Arial" w:hAnsi="Arial" w:cs="Arial"/>
          <w:b/>
          <w:sz w:val="24"/>
          <w:szCs w:val="24"/>
        </w:rPr>
        <w:t xml:space="preserve"> salud, </w:t>
      </w:r>
      <w:r>
        <w:rPr>
          <w:rFonts w:ascii="Arial" w:eastAsia="Arial" w:hAnsi="Arial" w:cs="Arial"/>
          <w:sz w:val="24"/>
          <w:szCs w:val="24"/>
        </w:rPr>
        <w:t>se fortaleció la red</w:t>
      </w:r>
      <w:r>
        <w:rPr>
          <w:rFonts w:ascii="Arial" w:eastAsia="Arial" w:hAnsi="Arial" w:cs="Arial"/>
          <w:sz w:val="24"/>
          <w:szCs w:val="24"/>
        </w:rPr>
        <w:t xml:space="preserve"> de Centros de Atención Primaria con el avance de obra del CAPS San Cayetano, que hoy en 2025 ya está funcionando, y se implementaron medidas administrativas informáticas  para agilizar la atención en guardia y se re acondicionar el espacio, como un nuevo </w:t>
      </w:r>
      <w:r>
        <w:rPr>
          <w:rFonts w:ascii="Arial" w:eastAsia="Arial" w:hAnsi="Arial" w:cs="Arial"/>
          <w:sz w:val="24"/>
          <w:szCs w:val="24"/>
        </w:rPr>
        <w:t>sistema informático y consultorios específicos en los consultorios externos del hospital.  Se sumó al hospital de la guardia técnicos Universitarios en emergencia. En un contexto muy complejo porque mientras el gobierno nacional recorta la inversión en sal</w:t>
      </w:r>
      <w:r>
        <w:rPr>
          <w:rFonts w:ascii="Arial" w:eastAsia="Arial" w:hAnsi="Arial" w:cs="Arial"/>
          <w:sz w:val="24"/>
          <w:szCs w:val="24"/>
        </w:rPr>
        <w:t>ud, y el sector privado deja de tener presencia en cada vez más servicios, la Municipalidad de Chascomús sostiene con recursos propios la creciente demanda en salud, a partir de sostener servicios e insumos con un costo cada vez más elevado como consecuenc</w:t>
      </w:r>
      <w:r>
        <w:rPr>
          <w:rFonts w:ascii="Arial" w:eastAsia="Arial" w:hAnsi="Arial" w:cs="Arial"/>
          <w:sz w:val="24"/>
          <w:szCs w:val="24"/>
        </w:rPr>
        <w:t xml:space="preserve">ia de la política de liberalización de los precios de los medicamentos que elevaron la inversión de poco más de dos millones en diciembre de 2023 a 71 en el último mes. </w:t>
      </w:r>
    </w:p>
    <w:p w14:paraId="00000023"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Se inició la obra (aún sigue en curso) de reparación de la losa de los consultorios ex</w:t>
      </w:r>
      <w:r>
        <w:rPr>
          <w:rFonts w:ascii="Arial" w:eastAsia="Arial" w:hAnsi="Arial" w:cs="Arial"/>
          <w:sz w:val="24"/>
          <w:szCs w:val="24"/>
        </w:rPr>
        <w:t>ternos, se restauraron varias salas, se habilitó un nuevo consultorio de audiometría, se acondicionó la sala de hemoterapia, y el laboratorio de anatomía patológica.</w:t>
      </w:r>
    </w:p>
    <w:p w14:paraId="00000024"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Se puso en funcionamiento la usina eléctrica propia del Hospital, </w:t>
      </w:r>
    </w:p>
    <w:p w14:paraId="00000025"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Siguiendo con mejoras e</w:t>
      </w:r>
      <w:r>
        <w:rPr>
          <w:rFonts w:ascii="Arial" w:eastAsia="Arial" w:hAnsi="Arial" w:cs="Arial"/>
          <w:sz w:val="24"/>
          <w:szCs w:val="24"/>
        </w:rPr>
        <w:t>n la Salud, se habilitó un Sector de Internación específico para salud mental, junto con Nueva Sala para ecografía con su correspondiente baño y el espacio acorde para los ecógrafos, para el nuevo quirófano de ginecología se adquirió mesa de anestesia y me</w:t>
      </w:r>
      <w:r>
        <w:rPr>
          <w:rFonts w:ascii="Arial" w:eastAsia="Arial" w:hAnsi="Arial" w:cs="Arial"/>
          <w:sz w:val="24"/>
          <w:szCs w:val="24"/>
        </w:rPr>
        <w:t xml:space="preserve">sa de instrumentación quirúrgica,  se sumaron dos traductores de ecografía, jeringas y contrastes para el tomógrafo. </w:t>
      </w:r>
    </w:p>
    <w:p w14:paraId="00000026"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Se sumó un nuevo profesional de endoscopia, un nuevo gastroenterólogo, para el área de laboratorio se alquiló un autoanalizador y  un equi</w:t>
      </w:r>
      <w:r>
        <w:rPr>
          <w:rFonts w:ascii="Arial" w:eastAsia="Arial" w:hAnsi="Arial" w:cs="Arial"/>
          <w:sz w:val="24"/>
          <w:szCs w:val="24"/>
        </w:rPr>
        <w:t>po de gases medicinales sumándose al equipo existente.</w:t>
      </w:r>
    </w:p>
    <w:p w14:paraId="00000027" w14:textId="77777777" w:rsidR="002C68E8" w:rsidRDefault="00BC51F6">
      <w:pPr>
        <w:spacing w:after="0" w:line="276" w:lineRule="auto"/>
        <w:rPr>
          <w:rFonts w:ascii="Arial" w:eastAsia="Arial" w:hAnsi="Arial" w:cs="Arial"/>
          <w:sz w:val="24"/>
          <w:szCs w:val="24"/>
        </w:rPr>
      </w:pPr>
      <w:r>
        <w:rPr>
          <w:rFonts w:ascii="Arial" w:eastAsia="Arial" w:hAnsi="Arial" w:cs="Arial"/>
          <w:sz w:val="24"/>
          <w:szCs w:val="24"/>
        </w:rPr>
        <w:t xml:space="preserve">            Se amplío el servicio administrativos con computadoras notebooks, en todos los espacios,así  coordinar subir los estudios al sistema de tal modo que con el DNI del paciente ingresan a la hi</w:t>
      </w:r>
      <w:r>
        <w:rPr>
          <w:rFonts w:ascii="Arial" w:eastAsia="Arial" w:hAnsi="Arial" w:cs="Arial"/>
          <w:sz w:val="24"/>
          <w:szCs w:val="24"/>
        </w:rPr>
        <w:t xml:space="preserve">storia clínica del paciente y desde cualquier área del hospital pueden  acceder a la información. Se logró incorporar mobiliario nuevo en todas las áreas. </w:t>
      </w:r>
    </w:p>
    <w:p w14:paraId="00000028" w14:textId="77777777" w:rsidR="002C68E8" w:rsidRDefault="00BC51F6">
      <w:pPr>
        <w:spacing w:after="0" w:line="276" w:lineRule="auto"/>
        <w:rPr>
          <w:rFonts w:ascii="Arial" w:eastAsia="Arial" w:hAnsi="Arial" w:cs="Arial"/>
          <w:sz w:val="24"/>
          <w:szCs w:val="24"/>
        </w:rPr>
      </w:pPr>
      <w:r>
        <w:rPr>
          <w:rFonts w:ascii="Arial" w:eastAsia="Arial" w:hAnsi="Arial" w:cs="Arial"/>
          <w:sz w:val="24"/>
          <w:szCs w:val="24"/>
        </w:rPr>
        <w:t xml:space="preserve">           Se adquirieron uniformes de trabajo para trabajadores municipales de enfermería, mucamas </w:t>
      </w:r>
      <w:r>
        <w:rPr>
          <w:rFonts w:ascii="Arial" w:eastAsia="Arial" w:hAnsi="Arial" w:cs="Arial"/>
          <w:sz w:val="24"/>
          <w:szCs w:val="24"/>
        </w:rPr>
        <w:t xml:space="preserve">y personal administrativo. </w:t>
      </w:r>
    </w:p>
    <w:p w14:paraId="00000029" w14:textId="77777777" w:rsidR="002C68E8" w:rsidRDefault="002C68E8">
      <w:pPr>
        <w:spacing w:after="0" w:line="276" w:lineRule="auto"/>
        <w:ind w:firstLine="850"/>
        <w:jc w:val="both"/>
        <w:rPr>
          <w:rFonts w:ascii="Arial" w:eastAsia="Arial" w:hAnsi="Arial" w:cs="Arial"/>
          <w:sz w:val="24"/>
          <w:szCs w:val="24"/>
        </w:rPr>
      </w:pPr>
    </w:p>
    <w:p w14:paraId="0000002A" w14:textId="77777777" w:rsidR="002C68E8" w:rsidRDefault="002C68E8">
      <w:pPr>
        <w:spacing w:after="0" w:line="276" w:lineRule="auto"/>
        <w:ind w:firstLine="850"/>
        <w:jc w:val="both"/>
        <w:rPr>
          <w:rFonts w:ascii="Arial" w:eastAsia="Arial" w:hAnsi="Arial" w:cs="Arial"/>
          <w:sz w:val="24"/>
          <w:szCs w:val="24"/>
        </w:rPr>
      </w:pPr>
    </w:p>
    <w:p w14:paraId="0000002B"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en lo que respecta</w:t>
      </w:r>
      <w:r>
        <w:rPr>
          <w:rFonts w:ascii="Arial" w:eastAsia="Arial" w:hAnsi="Arial" w:cs="Arial"/>
          <w:b/>
          <w:sz w:val="24"/>
          <w:szCs w:val="24"/>
        </w:rPr>
        <w:t xml:space="preserve"> a obras</w:t>
      </w:r>
      <w:r>
        <w:rPr>
          <w:rFonts w:ascii="Arial" w:eastAsia="Arial" w:hAnsi="Arial" w:cs="Arial"/>
          <w:sz w:val="24"/>
          <w:szCs w:val="24"/>
        </w:rPr>
        <w:t>, se terminó el 20% del asfalto del Barrio Escribano, las 16 viviendas en Acceso Norte con las correspondientes obras de cloacas. Se incorporaron además nuevos medidores de agua, que permiten raci</w:t>
      </w:r>
      <w:r>
        <w:rPr>
          <w:rFonts w:ascii="Arial" w:eastAsia="Arial" w:hAnsi="Arial" w:cs="Arial"/>
          <w:sz w:val="24"/>
          <w:szCs w:val="24"/>
        </w:rPr>
        <w:t xml:space="preserve">onalizar el consumo. A pesar de que fueron canceladas las obras del Procrear, del Ecoparque y del asfaltado del Barrio 30 de Mayo por parte del Gobierno Nacional, se gestionó y garantizó, con apoyo provincial, la continuidad de la obra de la cloaca máxima </w:t>
      </w:r>
      <w:r>
        <w:rPr>
          <w:rFonts w:ascii="Arial" w:eastAsia="Arial" w:hAnsi="Arial" w:cs="Arial"/>
          <w:sz w:val="24"/>
          <w:szCs w:val="24"/>
        </w:rPr>
        <w:t>y la planta de tratamiento de efluentes. Este conjunto de políticas, planificadas y sostenidas en un entorno adverso, da cuenta de una administración ordenada, sensible, creativa y con fuerte vocación pública.</w:t>
      </w:r>
    </w:p>
    <w:p w14:paraId="0000002C"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desde la </w:t>
      </w:r>
      <w:r>
        <w:rPr>
          <w:rFonts w:ascii="Arial" w:eastAsia="Arial" w:hAnsi="Arial" w:cs="Arial"/>
          <w:b/>
          <w:sz w:val="24"/>
          <w:szCs w:val="24"/>
        </w:rPr>
        <w:t>Secretaría de Obras y Servicios P</w:t>
      </w:r>
      <w:r>
        <w:rPr>
          <w:rFonts w:ascii="Arial" w:eastAsia="Arial" w:hAnsi="Arial" w:cs="Arial"/>
          <w:b/>
          <w:sz w:val="24"/>
          <w:szCs w:val="24"/>
        </w:rPr>
        <w:t>úblicos</w:t>
      </w:r>
      <w:r>
        <w:rPr>
          <w:rFonts w:ascii="Arial" w:eastAsia="Arial" w:hAnsi="Arial" w:cs="Arial"/>
          <w:sz w:val="24"/>
          <w:szCs w:val="24"/>
        </w:rPr>
        <w:t xml:space="preserve"> se aumentó la iluminación de la vía pública entre un 5% y un 10% en toda la ciudad, alcanzando el servicio por primera vez al barrio Los Eucaliptus. En lo que respecta a la recolección de los residuos sólidos urbanos, se incrementó el número de </w:t>
      </w:r>
      <w:r>
        <w:rPr>
          <w:rFonts w:ascii="Arial" w:eastAsia="Arial" w:hAnsi="Arial" w:cs="Arial"/>
          <w:sz w:val="24"/>
          <w:szCs w:val="24"/>
        </w:rPr>
        <w:lastRenderedPageBreak/>
        <w:t>con</w:t>
      </w:r>
      <w:r>
        <w:rPr>
          <w:rFonts w:ascii="Arial" w:eastAsia="Arial" w:hAnsi="Arial" w:cs="Arial"/>
          <w:sz w:val="24"/>
          <w:szCs w:val="24"/>
        </w:rPr>
        <w:t xml:space="preserve">tenedores y su recolección en distintos barrios de la ciudad, independientemente de la suba del precio de los insumos, en particular del gasoil. Se aumentó el espacio del corte de pasto. Con respecto a la mantención de los caminos rurales durante el 2024, </w:t>
      </w:r>
      <w:r>
        <w:rPr>
          <w:rFonts w:ascii="Arial" w:eastAsia="Arial" w:hAnsi="Arial" w:cs="Arial"/>
          <w:sz w:val="24"/>
          <w:szCs w:val="24"/>
        </w:rPr>
        <w:t>la Municipalidad se capitalizó a partir de la adquisición de dos tractores, dos rastras de discos y dos rabastos, que se suman a la maquinaria y equipamiento existente.</w:t>
      </w:r>
    </w:p>
    <w:p w14:paraId="0000002D" w14:textId="77777777" w:rsidR="002C68E8" w:rsidRDefault="00BC51F6">
      <w:pPr>
        <w:spacing w:after="0" w:line="276" w:lineRule="auto"/>
        <w:ind w:firstLine="850"/>
        <w:jc w:val="both"/>
        <w:rPr>
          <w:rFonts w:ascii="Arial" w:eastAsia="Arial" w:hAnsi="Arial" w:cs="Arial"/>
          <w:sz w:val="26"/>
          <w:szCs w:val="26"/>
        </w:rPr>
      </w:pPr>
      <w:r>
        <w:rPr>
          <w:rFonts w:ascii="Arial" w:eastAsia="Arial" w:hAnsi="Arial" w:cs="Arial"/>
          <w:sz w:val="24"/>
          <w:szCs w:val="24"/>
        </w:rPr>
        <w:t xml:space="preserve">Que en </w:t>
      </w:r>
      <w:r>
        <w:rPr>
          <w:rFonts w:ascii="Arial" w:eastAsia="Arial" w:hAnsi="Arial" w:cs="Arial"/>
          <w:b/>
          <w:sz w:val="24"/>
          <w:szCs w:val="24"/>
        </w:rPr>
        <w:t>producción y empleo</w:t>
      </w:r>
      <w:r>
        <w:rPr>
          <w:rFonts w:ascii="Arial" w:eastAsia="Arial" w:hAnsi="Arial" w:cs="Arial"/>
          <w:sz w:val="24"/>
          <w:szCs w:val="24"/>
        </w:rPr>
        <w:t>, se implementó el programa “Cosechando Saberes” para sostene</w:t>
      </w:r>
      <w:r>
        <w:rPr>
          <w:rFonts w:ascii="Arial" w:eastAsia="Arial" w:hAnsi="Arial" w:cs="Arial"/>
          <w:sz w:val="24"/>
          <w:szCs w:val="24"/>
        </w:rPr>
        <w:t xml:space="preserve">r las huertas familiares y se firmaron convenios con Provincia Microcréditos, mientras se promovió el consumo local a través de mercados populares y descuentos con Cuenta DNI. Se concesionaron tres parcelas ribereñas, </w:t>
      </w:r>
      <w:r>
        <w:t xml:space="preserve"> </w:t>
      </w:r>
      <w:r>
        <w:rPr>
          <w:rFonts w:ascii="Arial" w:eastAsia="Arial" w:hAnsi="Arial" w:cs="Arial"/>
          <w:sz w:val="24"/>
          <w:szCs w:val="24"/>
        </w:rPr>
        <w:t>Se concesionaron las parcelas ribereñ</w:t>
      </w:r>
      <w:r>
        <w:rPr>
          <w:rFonts w:ascii="Arial" w:eastAsia="Arial" w:hAnsi="Arial" w:cs="Arial"/>
          <w:sz w:val="24"/>
          <w:szCs w:val="24"/>
        </w:rPr>
        <w:t>as N°  18, Parador La Madrid, Punta Norte, y se prorrogo conforme plazo regulado en extension.</w:t>
      </w:r>
    </w:p>
    <w:p w14:paraId="0000002E"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en el </w:t>
      </w:r>
      <w:r>
        <w:rPr>
          <w:rFonts w:ascii="Arial" w:eastAsia="Arial" w:hAnsi="Arial" w:cs="Arial"/>
          <w:b/>
          <w:sz w:val="24"/>
          <w:szCs w:val="24"/>
        </w:rPr>
        <w:t>área de Deportes,</w:t>
      </w:r>
      <w:r>
        <w:rPr>
          <w:rFonts w:ascii="Arial" w:eastAsia="Arial" w:hAnsi="Arial" w:cs="Arial"/>
          <w:sz w:val="24"/>
          <w:szCs w:val="24"/>
        </w:rPr>
        <w:t xml:space="preserve"> además del incremento de ofertas de eventos y actividades deportivas, se invirtió fuertemente en el Polideportivo Municipal, con mejo</w:t>
      </w:r>
      <w:r>
        <w:rPr>
          <w:rFonts w:ascii="Arial" w:eastAsia="Arial" w:hAnsi="Arial" w:cs="Arial"/>
          <w:sz w:val="24"/>
          <w:szCs w:val="24"/>
        </w:rPr>
        <w:t>ras en los vestuarios, las oficinas y las tribunas. Además, se avanzó con la iluminación y se pintó el estadio. Se realizan distintas clases de Yoga, Zumba, Newcom, Sóftbol, Ajedrez y encuentros de adultos mayores que se brindan gratuitamente.</w:t>
      </w:r>
    </w:p>
    <w:p w14:paraId="0000002F"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en</w:t>
      </w:r>
      <w:r>
        <w:rPr>
          <w:rFonts w:ascii="Arial" w:eastAsia="Arial" w:hAnsi="Arial" w:cs="Arial"/>
          <w:b/>
          <w:sz w:val="24"/>
          <w:szCs w:val="24"/>
        </w:rPr>
        <w:t xml:space="preserve"> segur</w:t>
      </w:r>
      <w:r>
        <w:rPr>
          <w:rFonts w:ascii="Arial" w:eastAsia="Arial" w:hAnsi="Arial" w:cs="Arial"/>
          <w:b/>
          <w:sz w:val="24"/>
          <w:szCs w:val="24"/>
        </w:rPr>
        <w:t>idad</w:t>
      </w:r>
      <w:r>
        <w:rPr>
          <w:rFonts w:ascii="Arial" w:eastAsia="Arial" w:hAnsi="Arial" w:cs="Arial"/>
          <w:sz w:val="24"/>
          <w:szCs w:val="24"/>
        </w:rPr>
        <w:t>, se incrementó el número de cámaras en un 16%, llegando a 215, de las cuales 20 están ubicadas en las zonas rurales. Se incrementaron las intervenciones de la Patrulla de Prevención Municipal, se fortaleció el Centro de Monitoreo, se creó el Laborator</w:t>
      </w:r>
      <w:r>
        <w:rPr>
          <w:rFonts w:ascii="Arial" w:eastAsia="Arial" w:hAnsi="Arial" w:cs="Arial"/>
          <w:sz w:val="24"/>
          <w:szCs w:val="24"/>
        </w:rPr>
        <w:t>io de Extracción y Análisis de Imágenes, se implementó el programa “Ojos en Alerta”, poniéndose una botonera en el BASAP. También se trabajó en nuevas postas rurales y campañas de prevención digital frente al incremento de los delitos informáticos. Además,</w:t>
      </w:r>
      <w:r>
        <w:rPr>
          <w:rFonts w:ascii="Arial" w:eastAsia="Arial" w:hAnsi="Arial" w:cs="Arial"/>
          <w:sz w:val="24"/>
          <w:szCs w:val="24"/>
        </w:rPr>
        <w:t xml:space="preserve"> se continuó aportando combustible y repuestos a los móviles de la Estación de Policía Comunal y de todas las reparticiones policiales que tienen sede en nuestro distrito, además de realizar el pago del alquiler de la Delegación de Narcocriminalidad y de l</w:t>
      </w:r>
      <w:r>
        <w:rPr>
          <w:rFonts w:ascii="Arial" w:eastAsia="Arial" w:hAnsi="Arial" w:cs="Arial"/>
          <w:sz w:val="24"/>
          <w:szCs w:val="24"/>
        </w:rPr>
        <w:t>a Policía de la Mujer.</w:t>
      </w:r>
    </w:p>
    <w:p w14:paraId="00000030"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desde </w:t>
      </w:r>
      <w:r>
        <w:rPr>
          <w:rFonts w:ascii="Arial" w:eastAsia="Arial" w:hAnsi="Arial" w:cs="Arial"/>
          <w:b/>
          <w:sz w:val="24"/>
          <w:szCs w:val="24"/>
        </w:rPr>
        <w:t xml:space="preserve">la OMIC </w:t>
      </w:r>
      <w:r>
        <w:rPr>
          <w:rFonts w:ascii="Arial" w:eastAsia="Arial" w:hAnsi="Arial" w:cs="Arial"/>
          <w:sz w:val="24"/>
          <w:szCs w:val="24"/>
        </w:rPr>
        <w:t xml:space="preserve">se iniciaron 355 reclamos administrativos provenientes de vecinos de nuestra ciudad, de los cuales 239 se encuentran solucionados, lo que redunda en la recuperación de más de 50 millones de pesos, además de un gran </w:t>
      </w:r>
      <w:r>
        <w:rPr>
          <w:rFonts w:ascii="Arial" w:eastAsia="Arial" w:hAnsi="Arial" w:cs="Arial"/>
          <w:sz w:val="24"/>
          <w:szCs w:val="24"/>
        </w:rPr>
        <w:t>número de bienes.</w:t>
      </w:r>
    </w:p>
    <w:p w14:paraId="00000031"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bajo la </w:t>
      </w:r>
      <w:r>
        <w:rPr>
          <w:rFonts w:ascii="Arial" w:eastAsia="Arial" w:hAnsi="Arial" w:cs="Arial"/>
          <w:b/>
          <w:sz w:val="24"/>
          <w:szCs w:val="24"/>
        </w:rPr>
        <w:t>Dirección de Hábitat</w:t>
      </w:r>
      <w:r>
        <w:rPr>
          <w:rFonts w:ascii="Arial" w:eastAsia="Arial" w:hAnsi="Arial" w:cs="Arial"/>
          <w:sz w:val="24"/>
          <w:szCs w:val="24"/>
        </w:rPr>
        <w:t xml:space="preserve"> se avanzó en la regularización de más de 500 escrituras, dándole a los vecinos y a Instituciones la seguridad jurídica que otorga la regularización del dominio.</w:t>
      </w:r>
    </w:p>
    <w:p w14:paraId="00000032" w14:textId="77777777" w:rsidR="002C68E8" w:rsidRDefault="00BC51F6">
      <w:pPr>
        <w:spacing w:after="0" w:line="276" w:lineRule="auto"/>
        <w:ind w:firstLine="850"/>
        <w:jc w:val="both"/>
        <w:rPr>
          <w:rFonts w:ascii="Arial" w:eastAsia="Arial" w:hAnsi="Arial" w:cs="Arial"/>
          <w:strike/>
          <w:sz w:val="24"/>
          <w:szCs w:val="24"/>
          <w:highlight w:val="yellow"/>
        </w:rPr>
      </w:pPr>
      <w:r>
        <w:rPr>
          <w:rFonts w:ascii="Arial" w:eastAsia="Arial" w:hAnsi="Arial" w:cs="Arial"/>
          <w:sz w:val="24"/>
          <w:szCs w:val="24"/>
        </w:rPr>
        <w:t>Que, en los últimos años la Asociación Argen</w:t>
      </w:r>
      <w:r>
        <w:rPr>
          <w:rFonts w:ascii="Arial" w:eastAsia="Arial" w:hAnsi="Arial" w:cs="Arial"/>
          <w:sz w:val="24"/>
          <w:szCs w:val="24"/>
        </w:rPr>
        <w:t>tina de Presupuesto y Administración Financiera Pública (ASAP), ha ubicado  al Municipio de Chascomús mediante la asignación de los más altos puntajes, como uno de los 49 municipios de la provincia de buenos aires  de más alto  nivel en el índice de transp</w:t>
      </w:r>
      <w:r>
        <w:rPr>
          <w:rFonts w:ascii="Arial" w:eastAsia="Arial" w:hAnsi="Arial" w:cs="Arial"/>
          <w:sz w:val="24"/>
          <w:szCs w:val="24"/>
        </w:rPr>
        <w:t>arencia y visibilidad en cuanto a la publicación de la información presupuestaria y de su ejecución, y así lo ha efectuado últimamente mediante su Informe Nº 25, Dirección de Estudios, Municipales de Noviembre de 2024.-</w:t>
      </w:r>
    </w:p>
    <w:p w14:paraId="00000033"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 xml:space="preserve">Que se ha observado en el Honorable </w:t>
      </w:r>
      <w:r>
        <w:rPr>
          <w:rFonts w:ascii="Arial" w:eastAsia="Arial" w:hAnsi="Arial" w:cs="Arial"/>
          <w:sz w:val="24"/>
          <w:szCs w:val="24"/>
        </w:rPr>
        <w:t>Concejo Deliberante un exceso en los gastos devengados respecto de los créditos aprobados más sus modificaciones, por un monto de $ 8.938.671,53, lo cual deberá ser objeto de compensación conforme lo establece la normativa vigente</w:t>
      </w:r>
    </w:p>
    <w:p w14:paraId="00000034"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desde la presidencia del Honorable Concejo Deliberante no se han publicado las decisiones administrativas ni los actos de gobierno de dicha institución. Sin haberse dado cumplimiento a los estándares de transparencia que se promueven desde este mismo C</w:t>
      </w:r>
      <w:r>
        <w:rPr>
          <w:rFonts w:ascii="Arial" w:eastAsia="Arial" w:hAnsi="Arial" w:cs="Arial"/>
          <w:sz w:val="24"/>
          <w:szCs w:val="24"/>
        </w:rPr>
        <w:t>uerpo hacia el Departamento Ejecutivo, en los términos del artículo 108 inciso 18 de la LOM</w:t>
      </w:r>
    </w:p>
    <w:p w14:paraId="00000035"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lastRenderedPageBreak/>
        <w:t>Que, por lo tanto, la aprobación de la Rendición de Cuentas quedará sujeta a la autorización de compensación de dichos excesos con las economías generadas en la eje</w:t>
      </w:r>
      <w:r>
        <w:rPr>
          <w:rFonts w:ascii="Arial" w:eastAsia="Arial" w:hAnsi="Arial" w:cs="Arial"/>
          <w:sz w:val="24"/>
          <w:szCs w:val="24"/>
        </w:rPr>
        <w:t>cución del presupuesto del Departamento Ejecutivo, en los términos y alcances del artículo 67º de la Ley Orgánica de las Municipalidades y 230º del Reglamento de Contabilidad y Disposiciones de Administración.</w:t>
      </w:r>
    </w:p>
    <w:p w14:paraId="00000036" w14:textId="77777777" w:rsidR="002C68E8" w:rsidRDefault="00BC51F6">
      <w:pPr>
        <w:spacing w:after="0" w:line="276" w:lineRule="auto"/>
        <w:ind w:firstLine="850"/>
        <w:jc w:val="both"/>
        <w:rPr>
          <w:rFonts w:ascii="Arial" w:eastAsia="Arial" w:hAnsi="Arial" w:cs="Arial"/>
          <w:sz w:val="24"/>
          <w:szCs w:val="24"/>
        </w:rPr>
      </w:pPr>
      <w:r>
        <w:rPr>
          <w:rFonts w:ascii="Arial" w:eastAsia="Arial" w:hAnsi="Arial" w:cs="Arial"/>
          <w:sz w:val="24"/>
          <w:szCs w:val="24"/>
        </w:rPr>
        <w:t>Que todo lo expuesto refleja de manera concret</w:t>
      </w:r>
      <w:r>
        <w:rPr>
          <w:rFonts w:ascii="Arial" w:eastAsia="Arial" w:hAnsi="Arial" w:cs="Arial"/>
          <w:sz w:val="24"/>
          <w:szCs w:val="24"/>
        </w:rPr>
        <w:t>a y verificable que, a pesar del contexto económico adverso, la retracción del Estado Nacional y las múltiples dificultades que atravesaron los municipios durante el año 2024, el Departamento Ejecutivo Municipal llevó adelante una gestión responsable, plan</w:t>
      </w:r>
      <w:r>
        <w:rPr>
          <w:rFonts w:ascii="Arial" w:eastAsia="Arial" w:hAnsi="Arial" w:cs="Arial"/>
          <w:sz w:val="24"/>
          <w:szCs w:val="24"/>
        </w:rPr>
        <w:t>ificada y comprometida con la comunidad, priorizando el bienestar de los vecinos y vecinas, garantizando la continuidad de políticas públicas sensibles, la ejecución de obras fundamentales, el fortalecimiento de servicios esenciales y la inversión en infra</w:t>
      </w:r>
      <w:r>
        <w:rPr>
          <w:rFonts w:ascii="Arial" w:eastAsia="Arial" w:hAnsi="Arial" w:cs="Arial"/>
          <w:sz w:val="24"/>
          <w:szCs w:val="24"/>
        </w:rPr>
        <w:t>estructura, salud, seguridad, educación, producción, desarrollo social y cultura. Que, en virtud de la magnitud del esfuerzo demostrado, del cumplimiento de los objetivos planteados y del compromiso con la transparencia y la administración eficiente de los</w:t>
      </w:r>
      <w:r>
        <w:rPr>
          <w:rFonts w:ascii="Arial" w:eastAsia="Arial" w:hAnsi="Arial" w:cs="Arial"/>
          <w:sz w:val="24"/>
          <w:szCs w:val="24"/>
        </w:rPr>
        <w:t xml:space="preserve"> recursos públicos, corresponde que este Honorable Concejo Deliberante apruebe la Rendición de Cuentas del Ejercicio 2024, permitiendo con ello cerrar esta etapa institucional y avanzar en la construcción colectiva de nuevas soluciones y políticas que siga</w:t>
      </w:r>
      <w:r>
        <w:rPr>
          <w:rFonts w:ascii="Arial" w:eastAsia="Arial" w:hAnsi="Arial" w:cs="Arial"/>
          <w:sz w:val="24"/>
          <w:szCs w:val="24"/>
        </w:rPr>
        <w:t>n mejorando la calidad de vida de nuestra comunidad.</w:t>
      </w:r>
    </w:p>
    <w:p w14:paraId="00000037" w14:textId="77777777" w:rsidR="002C68E8" w:rsidRDefault="002C68E8">
      <w:pPr>
        <w:spacing w:after="0" w:line="276" w:lineRule="auto"/>
        <w:ind w:firstLine="850"/>
        <w:jc w:val="both"/>
        <w:rPr>
          <w:rFonts w:ascii="Arial" w:eastAsia="Arial" w:hAnsi="Arial" w:cs="Arial"/>
          <w:sz w:val="24"/>
          <w:szCs w:val="24"/>
        </w:rPr>
      </w:pPr>
    </w:p>
    <w:p w14:paraId="00000038" w14:textId="77777777" w:rsidR="002C68E8" w:rsidRDefault="002C68E8">
      <w:pPr>
        <w:ind w:firstLine="708"/>
        <w:jc w:val="both"/>
        <w:rPr>
          <w:rFonts w:ascii="Arial" w:eastAsia="Arial" w:hAnsi="Arial" w:cs="Arial"/>
          <w:sz w:val="24"/>
          <w:szCs w:val="24"/>
        </w:rPr>
      </w:pPr>
    </w:p>
    <w:p w14:paraId="00000039" w14:textId="77777777" w:rsidR="002C68E8" w:rsidRDefault="00BC51F6">
      <w:pPr>
        <w:spacing w:line="360" w:lineRule="auto"/>
        <w:jc w:val="center"/>
        <w:rPr>
          <w:rFonts w:ascii="Arial" w:eastAsia="Arial" w:hAnsi="Arial" w:cs="Arial"/>
          <w:b/>
          <w:sz w:val="24"/>
          <w:szCs w:val="24"/>
        </w:rPr>
      </w:pPr>
      <w:r>
        <w:rPr>
          <w:rFonts w:ascii="Arial" w:eastAsia="Arial" w:hAnsi="Arial" w:cs="Arial"/>
          <w:b/>
          <w:sz w:val="24"/>
          <w:szCs w:val="24"/>
        </w:rPr>
        <w:t>Por ello, el Bloque de Concejales y Concejalas UP  UXCH- FDT, UXCH- UP, Uxch, PJ-UP propone para su aprobación, el siguiente</w:t>
      </w:r>
    </w:p>
    <w:p w14:paraId="0000003A" w14:textId="77777777" w:rsidR="002C68E8" w:rsidRDefault="002C68E8">
      <w:pPr>
        <w:spacing w:before="80" w:after="80" w:line="360" w:lineRule="auto"/>
        <w:jc w:val="center"/>
        <w:rPr>
          <w:rFonts w:ascii="Arial" w:eastAsia="Arial" w:hAnsi="Arial" w:cs="Arial"/>
          <w:b/>
          <w:sz w:val="24"/>
          <w:szCs w:val="24"/>
        </w:rPr>
      </w:pPr>
    </w:p>
    <w:p w14:paraId="0000003B" w14:textId="77777777" w:rsidR="002C68E8" w:rsidRDefault="00BC51F6">
      <w:pPr>
        <w:spacing w:before="80" w:after="80" w:line="360" w:lineRule="auto"/>
        <w:jc w:val="center"/>
        <w:rPr>
          <w:rFonts w:ascii="Arial" w:eastAsia="Arial" w:hAnsi="Arial" w:cs="Arial"/>
          <w:b/>
          <w:sz w:val="24"/>
          <w:szCs w:val="24"/>
          <w:u w:val="single"/>
        </w:rPr>
      </w:pPr>
      <w:r>
        <w:rPr>
          <w:rFonts w:ascii="Arial" w:eastAsia="Arial" w:hAnsi="Arial" w:cs="Arial"/>
          <w:b/>
          <w:sz w:val="24"/>
          <w:szCs w:val="24"/>
          <w:u w:val="single"/>
        </w:rPr>
        <w:t>PROYECTO DE RESOLUCIÓN</w:t>
      </w:r>
    </w:p>
    <w:p w14:paraId="0000003C" w14:textId="77777777" w:rsidR="002C68E8" w:rsidRDefault="002C68E8">
      <w:pPr>
        <w:spacing w:before="80" w:after="80" w:line="360" w:lineRule="auto"/>
        <w:jc w:val="both"/>
        <w:rPr>
          <w:rFonts w:ascii="Arial" w:eastAsia="Arial" w:hAnsi="Arial" w:cs="Arial"/>
          <w:b/>
          <w:sz w:val="24"/>
          <w:szCs w:val="24"/>
        </w:rPr>
      </w:pPr>
    </w:p>
    <w:p w14:paraId="0000003D" w14:textId="77777777" w:rsidR="002C68E8" w:rsidRDefault="00BC51F6">
      <w:pPr>
        <w:spacing w:line="360" w:lineRule="auto"/>
        <w:jc w:val="both"/>
        <w:rPr>
          <w:rFonts w:ascii="Arial" w:eastAsia="Arial" w:hAnsi="Arial" w:cs="Arial"/>
          <w:sz w:val="24"/>
          <w:szCs w:val="24"/>
        </w:rPr>
      </w:pPr>
      <w:r>
        <w:rPr>
          <w:rFonts w:ascii="Arial" w:eastAsia="Arial" w:hAnsi="Arial" w:cs="Arial"/>
          <w:b/>
          <w:sz w:val="24"/>
          <w:szCs w:val="24"/>
        </w:rPr>
        <w:t xml:space="preserve">Artículo 1°: </w:t>
      </w:r>
      <w:r>
        <w:rPr>
          <w:rFonts w:ascii="Arial" w:eastAsia="Arial" w:hAnsi="Arial" w:cs="Arial"/>
          <w:sz w:val="24"/>
          <w:szCs w:val="24"/>
        </w:rPr>
        <w:t>Apruébese en general la Rendición de Cuentas de la Municipalidad de Chascomús, correspondiente al Ejercicio 2024 por los considerandos expuestos en el exordio.-</w:t>
      </w:r>
    </w:p>
    <w:p w14:paraId="0000003E" w14:textId="77777777" w:rsidR="002C68E8" w:rsidRDefault="00BC51F6">
      <w:pPr>
        <w:spacing w:line="360" w:lineRule="auto"/>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La aprobación en general la Rendición de Cuentas del Honorable Concejo Deliberante</w:t>
      </w:r>
      <w:r>
        <w:rPr>
          <w:rFonts w:ascii="Arial" w:eastAsia="Arial" w:hAnsi="Arial" w:cs="Arial"/>
          <w:sz w:val="24"/>
          <w:szCs w:val="24"/>
        </w:rPr>
        <w:t xml:space="preserve"> de Chascomús, correspondiente al Ejercicio 2024, estará sujeta a que este cuerpo colegiado autorice la compensación de los excesos de gastos producidos en la Ejecución Presupuestaria del H.C.D. con las economías generadas en la ejecución presupuestaria Ge</w:t>
      </w:r>
      <w:r>
        <w:rPr>
          <w:rFonts w:ascii="Arial" w:eastAsia="Arial" w:hAnsi="Arial" w:cs="Arial"/>
          <w:sz w:val="24"/>
          <w:szCs w:val="24"/>
        </w:rPr>
        <w:t>neral, en los términos y alcances del artículo 67º de la Ley Orgánica de las Municipalidades y 230º del Reglamento de Contabilidad y Disposiciones de Administración.-</w:t>
      </w:r>
    </w:p>
    <w:p w14:paraId="0000003F" w14:textId="77777777" w:rsidR="002C68E8" w:rsidRDefault="00BC51F6">
      <w:pPr>
        <w:spacing w:line="360"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Notifíquese al Departamento Ejecutivo y al Honorable Tribunal de Cuentas.-</w:t>
      </w:r>
    </w:p>
    <w:p w14:paraId="00000040" w14:textId="77777777" w:rsidR="002C68E8" w:rsidRDefault="00BC51F6">
      <w:pPr>
        <w:spacing w:line="360" w:lineRule="auto"/>
        <w:jc w:val="both"/>
        <w:rPr>
          <w:rFonts w:ascii="Arial" w:eastAsia="Arial" w:hAnsi="Arial" w:cs="Arial"/>
          <w:sz w:val="24"/>
          <w:szCs w:val="24"/>
          <w:u w:val="single"/>
        </w:rPr>
      </w:pPr>
      <w:r>
        <w:rPr>
          <w:rFonts w:ascii="Arial" w:eastAsia="Arial" w:hAnsi="Arial" w:cs="Arial"/>
          <w:b/>
          <w:sz w:val="24"/>
          <w:szCs w:val="24"/>
        </w:rPr>
        <w:t>A</w:t>
      </w:r>
      <w:r>
        <w:rPr>
          <w:rFonts w:ascii="Arial" w:eastAsia="Arial" w:hAnsi="Arial" w:cs="Arial"/>
          <w:b/>
          <w:sz w:val="24"/>
          <w:szCs w:val="24"/>
        </w:rPr>
        <w:t>rtículo 4°:</w:t>
      </w:r>
      <w:r>
        <w:rPr>
          <w:rFonts w:ascii="Arial" w:eastAsia="Arial" w:hAnsi="Arial" w:cs="Arial"/>
          <w:sz w:val="24"/>
          <w:szCs w:val="24"/>
        </w:rPr>
        <w:t xml:space="preserve"> De forma.- </w:t>
      </w:r>
    </w:p>
    <w:p w14:paraId="00000041" w14:textId="77777777" w:rsidR="002C68E8" w:rsidRDefault="002C68E8">
      <w:pPr>
        <w:jc w:val="both"/>
        <w:rPr>
          <w:rFonts w:ascii="Arial" w:eastAsia="Arial" w:hAnsi="Arial" w:cs="Arial"/>
          <w:color w:val="000000"/>
          <w:sz w:val="24"/>
          <w:szCs w:val="24"/>
        </w:rPr>
      </w:pPr>
    </w:p>
    <w:p w14:paraId="00000042" w14:textId="77777777" w:rsidR="002C68E8" w:rsidRDefault="002C68E8">
      <w:pPr>
        <w:jc w:val="both"/>
        <w:rPr>
          <w:rFonts w:ascii="Arial" w:eastAsia="Arial" w:hAnsi="Arial" w:cs="Arial"/>
          <w:color w:val="000000"/>
          <w:sz w:val="24"/>
          <w:szCs w:val="24"/>
        </w:rPr>
      </w:pPr>
    </w:p>
    <w:p w14:paraId="00000043" w14:textId="77777777" w:rsidR="002C68E8" w:rsidRDefault="002C68E8">
      <w:pPr>
        <w:jc w:val="both"/>
        <w:rPr>
          <w:rFonts w:ascii="Arial" w:eastAsia="Arial" w:hAnsi="Arial" w:cs="Arial"/>
          <w:color w:val="000000"/>
          <w:sz w:val="24"/>
          <w:szCs w:val="24"/>
        </w:rPr>
      </w:pPr>
    </w:p>
    <w:p w14:paraId="00000044" w14:textId="77777777" w:rsidR="002C68E8" w:rsidRDefault="002C68E8">
      <w:pPr>
        <w:jc w:val="both"/>
        <w:rPr>
          <w:rFonts w:ascii="Arial" w:eastAsia="Arial" w:hAnsi="Arial" w:cs="Arial"/>
          <w:color w:val="000000"/>
        </w:rPr>
      </w:pPr>
    </w:p>
    <w:p w14:paraId="00000045" w14:textId="77777777" w:rsidR="002C68E8" w:rsidRDefault="002C68E8">
      <w:pPr>
        <w:jc w:val="both"/>
        <w:rPr>
          <w:rFonts w:ascii="Arial" w:eastAsia="Arial" w:hAnsi="Arial" w:cs="Arial"/>
          <w:color w:val="000000"/>
        </w:rPr>
      </w:pPr>
    </w:p>
    <w:p w14:paraId="00000046" w14:textId="77777777" w:rsidR="002C68E8" w:rsidRDefault="002C68E8">
      <w:pPr>
        <w:jc w:val="both"/>
        <w:rPr>
          <w:rFonts w:ascii="Arial" w:eastAsia="Arial" w:hAnsi="Arial" w:cs="Arial"/>
          <w:color w:val="000000"/>
        </w:rPr>
      </w:pPr>
    </w:p>
    <w:p w14:paraId="00000047" w14:textId="77777777" w:rsidR="002C68E8" w:rsidRDefault="002C68E8">
      <w:pPr>
        <w:jc w:val="both"/>
        <w:rPr>
          <w:rFonts w:ascii="Arial" w:eastAsia="Arial" w:hAnsi="Arial" w:cs="Arial"/>
          <w:color w:val="000000"/>
        </w:rPr>
      </w:pPr>
    </w:p>
    <w:sectPr w:rsidR="002C68E8">
      <w:headerReference w:type="default" r:id="rId7"/>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1C30C" w14:textId="77777777" w:rsidR="00BC51F6" w:rsidRDefault="00BC51F6">
      <w:pPr>
        <w:spacing w:after="0" w:line="240" w:lineRule="auto"/>
      </w:pPr>
      <w:r>
        <w:separator/>
      </w:r>
    </w:p>
  </w:endnote>
  <w:endnote w:type="continuationSeparator" w:id="0">
    <w:p w14:paraId="7AD68F4E" w14:textId="77777777" w:rsidR="00BC51F6" w:rsidRDefault="00BC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E7970" w14:textId="77777777" w:rsidR="00BC51F6" w:rsidRDefault="00BC51F6">
      <w:pPr>
        <w:spacing w:after="0" w:line="240" w:lineRule="auto"/>
      </w:pPr>
      <w:r>
        <w:separator/>
      </w:r>
    </w:p>
  </w:footnote>
  <w:footnote w:type="continuationSeparator" w:id="0">
    <w:p w14:paraId="005A28E6" w14:textId="77777777" w:rsidR="00BC51F6" w:rsidRDefault="00BC5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2C68E8" w:rsidRDefault="002C68E8">
    <w:pPr>
      <w:pBdr>
        <w:top w:val="nil"/>
        <w:left w:val="nil"/>
        <w:bottom w:val="nil"/>
        <w:right w:val="nil"/>
        <w:between w:val="nil"/>
      </w:pBdr>
      <w:spacing w:after="0" w:line="240" w:lineRule="auto"/>
      <w:jc w:val="center"/>
      <w:rPr>
        <w:b/>
        <w:color w:val="000000"/>
      </w:rPr>
    </w:pPr>
  </w:p>
  <w:p w14:paraId="00000049" w14:textId="77777777" w:rsidR="002C68E8" w:rsidRDefault="002C68E8">
    <w:pPr>
      <w:pBdr>
        <w:top w:val="nil"/>
        <w:left w:val="nil"/>
        <w:bottom w:val="nil"/>
        <w:right w:val="nil"/>
        <w:between w:val="nil"/>
      </w:pBdr>
      <w:spacing w:after="0" w:line="240" w:lineRule="auto"/>
      <w:jc w:val="center"/>
      <w:rPr>
        <w:b/>
        <w:color w:val="000000"/>
      </w:rPr>
    </w:pPr>
  </w:p>
  <w:p w14:paraId="0000004A" w14:textId="77777777" w:rsidR="002C68E8" w:rsidRDefault="002C68E8">
    <w:pPr>
      <w:pBdr>
        <w:top w:val="nil"/>
        <w:left w:val="nil"/>
        <w:bottom w:val="nil"/>
        <w:right w:val="nil"/>
        <w:between w:val="nil"/>
      </w:pBdr>
      <w:spacing w:after="0" w:line="240" w:lineRule="auto"/>
      <w:jc w:val="center"/>
      <w:rPr>
        <w:b/>
        <w:color w:val="000000"/>
      </w:rPr>
    </w:pPr>
  </w:p>
  <w:p w14:paraId="0000004B" w14:textId="77777777" w:rsidR="002C68E8" w:rsidRDefault="002C68E8">
    <w:pPr>
      <w:pBdr>
        <w:top w:val="nil"/>
        <w:left w:val="nil"/>
        <w:bottom w:val="nil"/>
        <w:right w:val="nil"/>
        <w:between w:val="nil"/>
      </w:pBdr>
      <w:spacing w:after="0" w:line="240" w:lineRule="auto"/>
      <w:jc w:val="center"/>
      <w:rPr>
        <w:b/>
        <w:color w:val="000000"/>
      </w:rPr>
    </w:pPr>
  </w:p>
  <w:p w14:paraId="0000004C" w14:textId="77777777" w:rsidR="002C68E8" w:rsidRDefault="002C68E8">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E8"/>
    <w:rsid w:val="002C68E8"/>
    <w:rsid w:val="00725FD5"/>
    <w:rsid w:val="00BC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A7BF2-BBC3-4DD8-8CF7-E02F2B2B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4B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0CE3"/>
  </w:style>
  <w:style w:type="paragraph" w:styleId="Piedepgina">
    <w:name w:val="footer"/>
    <w:basedOn w:val="Normal"/>
    <w:link w:val="PiedepginaCar"/>
    <w:uiPriority w:val="99"/>
    <w:unhideWhenUsed/>
    <w:rsid w:val="004B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0CE3"/>
  </w:style>
  <w:style w:type="character" w:customStyle="1" w:styleId="eop">
    <w:name w:val="eop"/>
    <w:basedOn w:val="Fuentedeprrafopredeter"/>
    <w:rsid w:val="004B0CE3"/>
  </w:style>
  <w:style w:type="character" w:customStyle="1" w:styleId="normaltextrun">
    <w:name w:val="normaltextrun"/>
    <w:basedOn w:val="Fuentedeprrafopredeter"/>
    <w:rsid w:val="004B0CE3"/>
  </w:style>
  <w:style w:type="paragraph" w:styleId="Sinespaciado">
    <w:name w:val="No Spacing"/>
    <w:uiPriority w:val="1"/>
    <w:qFormat/>
    <w:rsid w:val="004B0CE3"/>
    <w:pPr>
      <w:spacing w:after="0" w:line="240" w:lineRule="auto"/>
    </w:pPr>
    <w:rPr>
      <w:lang w:val="es-ES"/>
    </w:rPr>
  </w:style>
  <w:style w:type="paragraph" w:styleId="NormalWeb">
    <w:name w:val="Normal (Web)"/>
    <w:basedOn w:val="Normal"/>
    <w:uiPriority w:val="99"/>
    <w:unhideWhenUsed/>
    <w:rsid w:val="0058782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6338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383C"/>
    <w:rPr>
      <w:rFonts w:ascii="Segoe UI" w:hAnsi="Segoe UI" w:cs="Segoe UI"/>
      <w:sz w:val="18"/>
      <w:szCs w:val="18"/>
    </w:rPr>
  </w:style>
  <w:style w:type="paragraph" w:styleId="Prrafodelista">
    <w:name w:val="List Paragraph"/>
    <w:basedOn w:val="Normal"/>
    <w:uiPriority w:val="34"/>
    <w:qFormat/>
    <w:rsid w:val="00994C8A"/>
    <w:pPr>
      <w:spacing w:line="256" w:lineRule="auto"/>
      <w:ind w:left="720"/>
      <w:contextualSpacing/>
    </w:pPr>
  </w:style>
  <w:style w:type="character" w:styleId="Textoennegrita">
    <w:name w:val="Strong"/>
    <w:basedOn w:val="Fuentedeprrafopredeter"/>
    <w:uiPriority w:val="22"/>
    <w:qFormat/>
    <w:rsid w:val="00404D4C"/>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9DtJz6WOBgrRku91h/kbcE7xA==">CgMxLjAyDWguNDJidWU5eXFjbHE4AGoqChRzdWdnZXN0LjNxOG84cHlqdmRuMRISTGVhbmRybyBCb3JkYWxlY291aioKFHN1Z2dlc3QuNXcxYmVuNHBkbXdnEhJMZWFuZHJvIEJvcmRhbGVjb3VqKgoUc3VnZ2VzdC51eWU0Y2w1d3U5djMSEkxlYW5kcm8gQm9yZGFsZWNvdWoqChRzdWdnZXN0Lm1zNWJzZjlpaHl2NRISTGVhbmRybyBCb3JkYWxlY291aikKE3N1Z2dlc3QudTU1dGx1anR0OGUSEkxlYW5kcm8gQm9yZGFsZWNvdWoqChRzdWdnZXN0Lm1hcnFuNjc4YTFtNxISTGVhbmRybyBCb3JkYWxlY291ciExSlkybWlqLXh0Ynp5WjB3WWN2NlhKbERLTnN5VEtab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2968</Words>
  <Characters>16922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dc:creator>
  <cp:lastModifiedBy>SIMM</cp:lastModifiedBy>
  <cp:revision>2</cp:revision>
  <dcterms:created xsi:type="dcterms:W3CDTF">2025-05-21T13:01:00Z</dcterms:created>
  <dcterms:modified xsi:type="dcterms:W3CDTF">2025-05-21T13:01:00Z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b799d694-b2e6-4067-bc6b-81d09af68c70</vt:lpwstr>
  </property>
</Properties>
</file>