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0C2" w:rsidRDefault="00216343">
      <w:pPr>
        <w:ind w:left="170"/>
        <w:jc w:val="center"/>
        <w:rPr>
          <w:rFonts w:ascii="Gentium Basic" w:eastAsia="Gentium Basic" w:hAnsi="Gentium Basic" w:cs="Gentium Basic"/>
          <w:color w:val="000000"/>
        </w:rPr>
      </w:pPr>
      <w:r>
        <w:rPr>
          <w:rFonts w:ascii="Gentium Basic" w:eastAsia="Gentium Basic" w:hAnsi="Gentium Basic" w:cs="Gentium Basic"/>
          <w:noProof/>
          <w:color w:val="000000"/>
          <w:lang w:val="en-US" w:eastAsia="en-US"/>
        </w:rPr>
        <w:drawing>
          <wp:inline distT="0" distB="0" distL="0" distR="0">
            <wp:extent cx="695325" cy="600075"/>
            <wp:effectExtent l="0" t="0" r="0" b="0"/>
            <wp:docPr id="2" name="image1.jpg" descr="Escudo Chascomú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Escudo Chascomús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E40C2" w:rsidRDefault="00216343">
      <w:pPr>
        <w:keepNext/>
        <w:ind w:left="17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Honorable Concejo Deliberante</w:t>
      </w:r>
    </w:p>
    <w:p w:rsidR="00DE40C2" w:rsidRDefault="00216343">
      <w:pPr>
        <w:ind w:left="17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Sarmiento 56    -    Chascomús</w:t>
      </w:r>
    </w:p>
    <w:p w:rsidR="00DE40C2" w:rsidRDefault="00216343">
      <w:pPr>
        <w:ind w:left="17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Bloque Unión por la Patria-PJ/UXCH-UXCH/UP -UXCH-UXCH/FDT</w:t>
      </w:r>
    </w:p>
    <w:p w:rsidR="00DE40C2" w:rsidRDefault="00216343">
      <w:pPr>
        <w:ind w:left="17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“2024: Año del 225° Aniversario del fallecimiento del fundador de Chascomús –</w:t>
      </w:r>
    </w:p>
    <w:p w:rsidR="00DE40C2" w:rsidRDefault="00216343">
      <w:pPr>
        <w:ind w:left="170"/>
        <w:jc w:val="center"/>
        <w:rPr>
          <w:rFonts w:ascii="Cambria" w:eastAsia="Cambria" w:hAnsi="Cambria" w:cs="Cambria"/>
          <w:sz w:val="24"/>
          <w:szCs w:val="24"/>
        </w:rPr>
      </w:pPr>
      <w:r>
        <w:rPr>
          <w:b/>
          <w:color w:val="000000"/>
          <w:sz w:val="22"/>
          <w:szCs w:val="22"/>
        </w:rPr>
        <w:t>Pedro Nicolás Escribano”</w:t>
      </w:r>
    </w:p>
    <w:p w:rsidR="00DE40C2" w:rsidRDefault="00216343">
      <w:pPr>
        <w:ind w:left="170"/>
        <w:jc w:val="center"/>
        <w:rPr>
          <w:rFonts w:ascii="Cambria" w:eastAsia="Cambria" w:hAnsi="Cambria" w:cs="Cambria"/>
          <w:sz w:val="24"/>
          <w:szCs w:val="24"/>
        </w:rPr>
      </w:pPr>
      <w:r>
        <w:rPr>
          <w:b/>
          <w:color w:val="000000"/>
          <w:sz w:val="22"/>
          <w:szCs w:val="22"/>
        </w:rPr>
        <w:t xml:space="preserve"> </w:t>
      </w:r>
    </w:p>
    <w:p w:rsidR="00DE40C2" w:rsidRDefault="00DE40C2">
      <w:pPr>
        <w:tabs>
          <w:tab w:val="center" w:pos="4419"/>
          <w:tab w:val="right" w:pos="8838"/>
        </w:tabs>
        <w:ind w:left="170"/>
      </w:pPr>
    </w:p>
    <w:p w:rsidR="00DE40C2" w:rsidRDefault="00216343">
      <w:pPr>
        <w:spacing w:line="300" w:lineRule="auto"/>
        <w:rPr>
          <w:rFonts w:ascii="Helvetica Neue" w:eastAsia="Helvetica Neue" w:hAnsi="Helvetica Neue" w:cs="Helvetica Neue"/>
          <w:color w:val="1D2129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</w:t>
      </w:r>
      <w:r>
        <w:rPr>
          <w:rFonts w:ascii="Helvetica Neue" w:eastAsia="Helvetica Neue" w:hAnsi="Helvetica Neue" w:cs="Helvetica Neue"/>
          <w:color w:val="1D2129"/>
          <w:sz w:val="24"/>
          <w:szCs w:val="24"/>
          <w:highlight w:val="white"/>
        </w:rPr>
        <w:t>DESPACHO DEL PROYECTO 5911/O</w:t>
      </w:r>
    </w:p>
    <w:p w:rsidR="00DE40C2" w:rsidRDefault="00DE40C2">
      <w:pPr>
        <w:spacing w:line="300" w:lineRule="auto"/>
        <w:rPr>
          <w:rFonts w:ascii="Helvetica Neue" w:eastAsia="Helvetica Neue" w:hAnsi="Helvetica Neue" w:cs="Helvetica Neue"/>
          <w:color w:val="1D2129"/>
          <w:sz w:val="24"/>
          <w:szCs w:val="24"/>
          <w:highlight w:val="white"/>
        </w:rPr>
      </w:pPr>
    </w:p>
    <w:p w:rsidR="00DE40C2" w:rsidRDefault="00216343">
      <w:pPr>
        <w:spacing w:line="300" w:lineRule="auto"/>
        <w:jc w:val="right"/>
        <w:rPr>
          <w:rFonts w:ascii="Helvetica Neue" w:eastAsia="Helvetica Neue" w:hAnsi="Helvetica Neue" w:cs="Helvetica Neue"/>
          <w:color w:val="1D2129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color w:val="1D2129"/>
          <w:sz w:val="24"/>
          <w:szCs w:val="24"/>
          <w:highlight w:val="white"/>
        </w:rPr>
        <w:t>Chascomús</w:t>
      </w:r>
      <w:r>
        <w:rPr>
          <w:rFonts w:ascii="Helvetica Neue" w:eastAsia="Helvetica Neue" w:hAnsi="Helvetica Neue" w:cs="Helvetica Neue"/>
          <w:color w:val="1D2129"/>
          <w:sz w:val="24"/>
          <w:szCs w:val="24"/>
          <w:highlight w:val="white"/>
        </w:rPr>
        <w:t>, 20 de noviembre 2024.</w:t>
      </w:r>
    </w:p>
    <w:p w:rsidR="00DE40C2" w:rsidRDefault="00DE40C2">
      <w:pPr>
        <w:spacing w:line="300" w:lineRule="auto"/>
        <w:jc w:val="center"/>
        <w:rPr>
          <w:rFonts w:ascii="Helvetica Neue" w:eastAsia="Helvetica Neue" w:hAnsi="Helvetica Neue" w:cs="Helvetica Neue"/>
          <w:b/>
          <w:color w:val="1D2129"/>
          <w:sz w:val="24"/>
          <w:szCs w:val="24"/>
          <w:highlight w:val="white"/>
        </w:rPr>
      </w:pPr>
    </w:p>
    <w:p w:rsidR="00DE40C2" w:rsidRDefault="00216343">
      <w:pPr>
        <w:spacing w:line="300" w:lineRule="auto"/>
        <w:jc w:val="both"/>
        <w:rPr>
          <w:rFonts w:ascii="Helvetica Neue" w:eastAsia="Helvetica Neue" w:hAnsi="Helvetica Neue" w:cs="Helvetica Neue"/>
          <w:color w:val="1D2129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b/>
          <w:color w:val="1D2129"/>
          <w:sz w:val="24"/>
          <w:szCs w:val="24"/>
          <w:highlight w:val="white"/>
        </w:rPr>
        <w:t>COMISIÓN:</w:t>
      </w:r>
      <w:r>
        <w:rPr>
          <w:rFonts w:ascii="Helvetica Neue" w:eastAsia="Helvetica Neue" w:hAnsi="Helvetica Neue" w:cs="Helvetica Neue"/>
          <w:color w:val="1D2129"/>
          <w:sz w:val="24"/>
          <w:szCs w:val="24"/>
          <w:highlight w:val="white"/>
        </w:rPr>
        <w:t xml:space="preserve"> </w:t>
      </w:r>
    </w:p>
    <w:p w:rsidR="00DE40C2" w:rsidRDefault="00DE40C2">
      <w:pPr>
        <w:spacing w:line="300" w:lineRule="auto"/>
        <w:jc w:val="both"/>
        <w:rPr>
          <w:rFonts w:ascii="Helvetica Neue" w:eastAsia="Helvetica Neue" w:hAnsi="Helvetica Neue" w:cs="Helvetica Neue"/>
          <w:color w:val="1D2129"/>
          <w:sz w:val="24"/>
          <w:szCs w:val="24"/>
          <w:highlight w:val="white"/>
        </w:rPr>
      </w:pPr>
    </w:p>
    <w:p w:rsidR="00DE40C2" w:rsidRDefault="00216343">
      <w:pPr>
        <w:spacing w:line="300" w:lineRule="auto"/>
        <w:jc w:val="both"/>
        <w:rPr>
          <w:rFonts w:ascii="Helvetica Neue" w:eastAsia="Helvetica Neue" w:hAnsi="Helvetica Neue" w:cs="Helvetica Neue"/>
          <w:color w:val="1D2129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color w:val="1D2129"/>
          <w:sz w:val="24"/>
          <w:szCs w:val="24"/>
          <w:highlight w:val="white"/>
        </w:rPr>
        <w:t>Consideración por la Comisión: Proyecto N° 5911/O.</w:t>
      </w:r>
    </w:p>
    <w:p w:rsidR="00DE40C2" w:rsidRDefault="00DE40C2">
      <w:pPr>
        <w:spacing w:line="300" w:lineRule="auto"/>
        <w:jc w:val="both"/>
        <w:rPr>
          <w:rFonts w:ascii="Helvetica Neue" w:eastAsia="Helvetica Neue" w:hAnsi="Helvetica Neue" w:cs="Helvetica Neue"/>
          <w:color w:val="1D2129"/>
          <w:sz w:val="24"/>
          <w:szCs w:val="24"/>
          <w:highlight w:val="white"/>
        </w:rPr>
      </w:pPr>
      <w:bookmarkStart w:id="0" w:name="_GoBack"/>
      <w:bookmarkEnd w:id="0"/>
    </w:p>
    <w:p w:rsidR="00216343" w:rsidRDefault="00216343">
      <w:pPr>
        <w:spacing w:line="300" w:lineRule="auto"/>
        <w:jc w:val="both"/>
        <w:rPr>
          <w:rFonts w:ascii="Helvetica Neue" w:eastAsia="Helvetica Neue" w:hAnsi="Helvetica Neue" w:cs="Helvetica Neue"/>
          <w:color w:val="1D2129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color w:val="1D2129"/>
          <w:sz w:val="24"/>
          <w:szCs w:val="24"/>
          <w:highlight w:val="white"/>
        </w:rPr>
        <w:t>Aconseja por mayoría</w:t>
      </w:r>
    </w:p>
    <w:p w:rsidR="00DE40C2" w:rsidRDefault="00216343">
      <w:pPr>
        <w:spacing w:line="300" w:lineRule="auto"/>
        <w:jc w:val="both"/>
        <w:rPr>
          <w:rFonts w:ascii="Helvetica Neue" w:eastAsia="Helvetica Neue" w:hAnsi="Helvetica Neue" w:cs="Helvetica Neue"/>
          <w:color w:val="1D2129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color w:val="1D2129"/>
          <w:sz w:val="24"/>
          <w:szCs w:val="24"/>
          <w:highlight w:val="white"/>
        </w:rPr>
        <w:t>Aprobación con modificaciones que se detallan a continuación:</w:t>
      </w:r>
    </w:p>
    <w:p w:rsidR="00DE40C2" w:rsidRDefault="00DE40C2">
      <w:pPr>
        <w:jc w:val="both"/>
        <w:rPr>
          <w:rFonts w:ascii="Arial" w:eastAsia="Arial" w:hAnsi="Arial" w:cs="Arial"/>
          <w:sz w:val="24"/>
          <w:szCs w:val="24"/>
        </w:rPr>
      </w:pPr>
    </w:p>
    <w:p w:rsidR="00DE40C2" w:rsidRDefault="00216343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Visto:</w:t>
      </w:r>
    </w:p>
    <w:p w:rsidR="00DE40C2" w:rsidRDefault="00216343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color w:val="000000"/>
          <w:sz w:val="24"/>
          <w:szCs w:val="24"/>
        </w:rPr>
        <w:t>licitación Pública N° 01/23, tramitada por Expediente Administrativo N° 4030-160569/M, y</w:t>
      </w:r>
    </w:p>
    <w:p w:rsidR="00DE40C2" w:rsidRDefault="00216343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DE40C2" w:rsidRDefault="00216343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CONSIDERANDO</w:t>
      </w:r>
    </w:p>
    <w:p w:rsidR="00DE40C2" w:rsidRDefault="0021634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Que por Ordenanza N° 5697/2022, promulgada por Decreto N° 1209/2022, se autorizó al D.E. a efectuar el llamado a Licitación Pública para llevar adelante el “Diseño, Construcción, Puesta en Valor y Explotación Comercial del Edificio de Fomento y Turismo y e</w:t>
      </w:r>
      <w:r>
        <w:rPr>
          <w:rFonts w:ascii="Arial" w:eastAsia="Arial" w:hAnsi="Arial" w:cs="Arial"/>
          <w:color w:val="000000"/>
          <w:sz w:val="24"/>
          <w:szCs w:val="24"/>
        </w:rPr>
        <w:t>dificio de la vieja oficina de Informes Turísticos”, localizado en Av. Costanera España N° 75;</w:t>
      </w:r>
    </w:p>
    <w:p w:rsidR="00DE40C2" w:rsidRDefault="0021634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Que mediante Expediente Administrativo N° 4030-160569/M se tramitó la Licitación Pública N° 01/23, realizándose el correspondiente llamado a licitación mediante </w:t>
      </w:r>
      <w:r>
        <w:rPr>
          <w:rFonts w:ascii="Arial" w:eastAsia="Arial" w:hAnsi="Arial" w:cs="Arial"/>
          <w:color w:val="000000"/>
          <w:sz w:val="24"/>
          <w:szCs w:val="24"/>
        </w:rPr>
        <w:t>Decreto N° 155/2023;</w:t>
      </w:r>
    </w:p>
    <w:p w:rsidR="00DE40C2" w:rsidRDefault="0021634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Que por Decreto N° 490/2023 se declaró desierto el primer llamado a Licitación Pública N° 01/2023 al no presentarse ningún oferente, autorizándose el segundo llamado a licitación por Decreto N° 851/2023, declarándose desierto el mismo </w:t>
      </w:r>
      <w:r>
        <w:rPr>
          <w:rFonts w:ascii="Arial" w:eastAsia="Arial" w:hAnsi="Arial" w:cs="Arial"/>
          <w:color w:val="000000"/>
          <w:sz w:val="24"/>
          <w:szCs w:val="24"/>
        </w:rPr>
        <w:t>mediante Decreto N° 752/2023 al no presentarse nuevamente ningún oferente;</w:t>
      </w:r>
    </w:p>
    <w:p w:rsidR="00DE40C2" w:rsidRDefault="0021634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Que al haberse declarado desiertos ambos llamados a Licitación, y al contar el D.E. con la potestad de otorgar la concesión en forma directa según lo establecido en la normativa vig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ente, se realizó invitación a toda persona física o jurídica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interesada, a presentar un proyecto de explotación y puesta en valor del Edificio del Turista, ubicado en Av. Costanera España 75, junto al muelle de pesca Domingo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Cazaux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DE40C2" w:rsidRDefault="0021634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Que la única presentaci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ón formal fue realizada por el consorcio de empresas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GyC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Construcciones S.A. y La Continuidad S.A., quienes presentan proyecto de Propuesta para el “Diseño, construcción, puesta en valor y explotación comercial del Edificio de Fomento y Turismo, localizado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en Av. Costanera España N° 75 y el edificio de la vieja oficina de Informes Turísticos”.</w:t>
      </w:r>
    </w:p>
    <w:p w:rsidR="00DE40C2" w:rsidRDefault="0021634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Que dicha propuesta difiere en algunos aspectos con lo establecido en el pliego de Bases y Condiciones aprobado por Ordenanza N° 5697/2022 para la Licitación Pública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01/2023, tramitada por Expediente Administrativo N° 4030-160569/M,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cuyo detalles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obran en el Informe Técnico emitido por el Equipo Técnico de Turismo de fecha 7 de Octubre de 2024;</w:t>
      </w:r>
    </w:p>
    <w:p w:rsidR="00DE40C2" w:rsidRDefault="0021634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Que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debido a lo citado en el considerando precedente, el D.E. ya no cuenta </w:t>
      </w:r>
      <w:r>
        <w:rPr>
          <w:rFonts w:ascii="Arial" w:eastAsia="Arial" w:hAnsi="Arial" w:cs="Arial"/>
          <w:color w:val="000000"/>
          <w:sz w:val="24"/>
          <w:szCs w:val="24"/>
        </w:rPr>
        <w:t>con la potestad de otorgar la concesión en forma directa, siendo necesario el acuerdo de las fuerzas políticas que componen el Honorable Concejo Deliberante y la sanción de una Ordenanza que autorice al D.E. a otorgar la concesión de acuerdo a la presentac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ión realizada por el consorcio de empresas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GyC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Construcciones S.A. y La Continuidad S.A.</w:t>
      </w:r>
    </w:p>
    <w:p w:rsidR="00DE40C2" w:rsidRDefault="00DE40C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DE40C2" w:rsidRDefault="0021634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Que teniendo en cuenta que la prórroga propuesta por el oferente excede el límite establecido por el art 231 de la </w:t>
      </w:r>
      <w:proofErr w:type="gramStart"/>
      <w:r>
        <w:rPr>
          <w:rFonts w:ascii="Arial" w:eastAsia="Arial" w:hAnsi="Arial" w:cs="Arial"/>
          <w:sz w:val="24"/>
          <w:szCs w:val="24"/>
        </w:rPr>
        <w:t>LOM  deberá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ajustarse el mismo a los términos de dicha normativa.</w:t>
      </w:r>
    </w:p>
    <w:p w:rsidR="00DE40C2" w:rsidRDefault="00DE40C2">
      <w:pPr>
        <w:spacing w:line="360" w:lineRule="auto"/>
        <w:ind w:firstLine="198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E40C2" w:rsidRDefault="00216343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 ello, el Bloque el interbloque Unión por la Patria UXCH/PJ -UXCH-UXCH/</w:t>
      </w:r>
      <w:r>
        <w:rPr>
          <w:rFonts w:ascii="Arial" w:eastAsia="Arial" w:hAnsi="Arial" w:cs="Arial"/>
          <w:sz w:val="24"/>
          <w:szCs w:val="24"/>
        </w:rPr>
        <w:t>FDT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 atribución a sus facultades que le confiere la Ley Orgánica de las Municipalidades, proponen el siguiente:</w:t>
      </w:r>
    </w:p>
    <w:p w:rsidR="00DE40C2" w:rsidRDefault="00DE40C2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DE40C2" w:rsidRDefault="00216343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PROYECTO DE ORDENANZA:</w:t>
      </w:r>
    </w:p>
    <w:p w:rsidR="00DE40C2" w:rsidRDefault="002163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" w:name="bookmark=id.30j0zll" w:colFirst="0" w:colLast="0"/>
      <w:bookmarkStart w:id="2" w:name="bookmark=id.1fob9te" w:colFirst="0" w:colLast="0"/>
      <w:bookmarkStart w:id="3" w:name="bookmark=id.gjdgxs" w:colFirst="0" w:colLast="0"/>
      <w:bookmarkEnd w:id="1"/>
      <w:bookmarkEnd w:id="2"/>
      <w:bookmarkEnd w:id="3"/>
      <w:r>
        <w:rPr>
          <w:rFonts w:ascii="Arial" w:eastAsia="Arial" w:hAnsi="Arial" w:cs="Arial"/>
          <w:color w:val="000000"/>
          <w:sz w:val="24"/>
          <w:szCs w:val="24"/>
        </w:rPr>
        <w:t xml:space="preserve">ARTÍCULO 1º: Autorícese al Departamento Ejecutivo, previo cumplimiento de los dispuesto en el artículo 5º 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conjuntamente con lo establecido en la presente Ordenanza </w:t>
      </w:r>
      <w:r>
        <w:rPr>
          <w:rFonts w:ascii="Arial" w:eastAsia="Arial" w:hAnsi="Arial" w:cs="Arial"/>
          <w:color w:val="000000"/>
          <w:sz w:val="24"/>
          <w:szCs w:val="24"/>
        </w:rPr>
        <w:t>y como condición sine qua non de dicha autorización,  a efectuar la adjudicación de la Parcela Ribereña Edificio del Turista que tramitara por Licitación Pública N° 01/23 para el “Diseño, Construcci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ón, Puesta en Valor y Explotación Comercial del Edificio de Fomento y Turismo y edificio de la vieja oficina de Informes Turísticos”, localizado en Av. Costanera España N° 75, entre la Plaza de Juegos y el Muelle de Pescadores Domingo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Cazaux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La puesta en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valor de los edificios existentes debe preservar su diseño y estructura actual. </w:t>
      </w:r>
    </w:p>
    <w:p w:rsidR="00DE40C2" w:rsidRDefault="002163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ARTÍCULO 2º: Tal adjudicación deberá realizarse por el plazo máximo de 25 años, </w:t>
      </w:r>
      <w:r>
        <w:rPr>
          <w:rFonts w:ascii="Arial" w:eastAsia="Arial" w:hAnsi="Arial" w:cs="Arial"/>
          <w:color w:val="FF0000"/>
          <w:sz w:val="24"/>
          <w:szCs w:val="24"/>
        </w:rPr>
        <w:t>en los términos del artículo 231 de la LOM</w:t>
      </w:r>
      <w:r>
        <w:rPr>
          <w:rFonts w:ascii="Arial" w:eastAsia="Arial" w:hAnsi="Arial" w:cs="Arial"/>
          <w:color w:val="000000"/>
          <w:sz w:val="24"/>
          <w:szCs w:val="24"/>
        </w:rPr>
        <w:t>, en caso que sea cumplimentado lo previsto en el con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trato a suscribirse entre la empresa y la Municipalidad de Chascomús en los términos de la presente Ordenanza.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pudiendo la </w:t>
      </w:r>
      <w:r>
        <w:rPr>
          <w:rFonts w:ascii="Arial" w:eastAsia="Arial" w:hAnsi="Arial" w:cs="Arial"/>
          <w:sz w:val="24"/>
          <w:szCs w:val="24"/>
        </w:rPr>
        <w:t>prórroga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exceder para el caso que se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acuerde  el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plazo previsto en el ART 231 de la LOM para la misma.</w:t>
      </w:r>
    </w:p>
    <w:p w:rsidR="00DE40C2" w:rsidRDefault="002163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ARTÍCULO 3º: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El área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concesionable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 no podrá exceder la oficina Anexa al Edificio hacia un lado; Ni el comienzo de los actuales juegos para niños, hacia el otro. No podrá autorizarse estacionamiento exclusivo sobre la </w:t>
      </w:r>
      <w:proofErr w:type="gramStart"/>
      <w:r>
        <w:rPr>
          <w:rFonts w:ascii="Arial" w:eastAsia="Arial" w:hAnsi="Arial" w:cs="Arial"/>
          <w:color w:val="FF0000"/>
          <w:sz w:val="24"/>
          <w:szCs w:val="24"/>
        </w:rPr>
        <w:t>Costanera.-</w:t>
      </w:r>
      <w:proofErr w:type="gramEnd"/>
    </w:p>
    <w:p w:rsidR="00DE40C2" w:rsidRDefault="002163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ARTÍCULO 4º: </w:t>
      </w:r>
      <w:r>
        <w:rPr>
          <w:rFonts w:ascii="Arial" w:eastAsia="Arial" w:hAnsi="Arial" w:cs="Arial"/>
          <w:color w:val="000000"/>
          <w:sz w:val="24"/>
          <w:szCs w:val="24"/>
        </w:rPr>
        <w:t>Se autoriza al Departamento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Ejecutivo para que realice un llamado a presentación de propuestas, debiendo dar difusión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en medios locales, provinciales y nacionales, enviando invitación directa a las cámaras empresariales y de comercio del Gran Buenos Aires </w:t>
      </w:r>
      <w:r>
        <w:rPr>
          <w:rFonts w:ascii="Arial" w:eastAsia="Arial" w:hAnsi="Arial" w:cs="Arial"/>
          <w:color w:val="000000"/>
          <w:sz w:val="24"/>
          <w:szCs w:val="24"/>
        </w:rPr>
        <w:t>durante SESENTA DÍAS corrid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os, otorgando la posibilidad de que otros oferentes conozcan el llamado y presenten propuestas con las nuevas condiciones previstas en la presente Ordenanza. </w:t>
      </w:r>
    </w:p>
    <w:p w:rsidR="00DE40C2" w:rsidRDefault="002163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En caso que no se presente otra propuesta, se autoriza al Departamento Ejecutivo a realizar la 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judicación directa al consorcio de empresas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GyC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Construcciones S.A. y La Continuidad S.A. en la forma y por el plazo establecida en la presente.</w:t>
      </w:r>
    </w:p>
    <w:p w:rsidR="00DE40C2" w:rsidRDefault="002163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ARTÍCULO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5º:Se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deja expresa constancia que una vez finalizada la concesión que resulte del presente, serán toda</w:t>
      </w:r>
      <w:r>
        <w:rPr>
          <w:rFonts w:ascii="Arial" w:eastAsia="Arial" w:hAnsi="Arial" w:cs="Arial"/>
          <w:color w:val="000000"/>
          <w:sz w:val="24"/>
          <w:szCs w:val="24"/>
        </w:rPr>
        <w:t>s las mejoras y construcciones así como también cualquier construcción anexa, serán en favor y propiedad de la Municipalidad.</w:t>
      </w:r>
    </w:p>
    <w:p w:rsidR="00DE40C2" w:rsidRDefault="002163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ARTÍCULO 6° Para el caso de fracasar la adjudicación de la concesión en los términos antes enunciado, se deberá llamar a nueva lic</w:t>
      </w:r>
      <w:r>
        <w:rPr>
          <w:rFonts w:ascii="Arial" w:eastAsia="Arial" w:hAnsi="Arial" w:cs="Arial"/>
          <w:color w:val="000000"/>
          <w:sz w:val="24"/>
          <w:szCs w:val="24"/>
        </w:rPr>
        <w:t>itación pública debiendo remitir el departamento ejecutivo los pliegos a éste cuerpo deliberativo.</w:t>
      </w:r>
    </w:p>
    <w:p w:rsidR="00DE40C2" w:rsidRDefault="00DE40C2">
      <w:pPr>
        <w:jc w:val="both"/>
        <w:rPr>
          <w:rFonts w:ascii="Arial" w:eastAsia="Arial" w:hAnsi="Arial" w:cs="Arial"/>
          <w:sz w:val="24"/>
          <w:szCs w:val="24"/>
        </w:rPr>
      </w:pPr>
    </w:p>
    <w:sectPr w:rsidR="00DE40C2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ntium Basic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0C2"/>
    <w:rsid w:val="00216343"/>
    <w:rsid w:val="00DE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CF056"/>
  <w15:docId w15:val="{DC2244E6-AF5C-4817-8D8D-08CFB9F9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514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ordinance">
    <w:name w:val="ordinance"/>
    <w:basedOn w:val="Normal"/>
    <w:rsid w:val="000E1BB4"/>
    <w:pPr>
      <w:spacing w:before="100" w:beforeAutospacing="1" w:after="100" w:afterAutospacing="1"/>
    </w:pPr>
    <w:rPr>
      <w:sz w:val="24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0E1BB4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E1BB4"/>
    <w:rPr>
      <w:b/>
      <w:bCs/>
    </w:rPr>
  </w:style>
  <w:style w:type="paragraph" w:styleId="Prrafodelista">
    <w:name w:val="List Paragraph"/>
    <w:basedOn w:val="Normal"/>
    <w:uiPriority w:val="34"/>
    <w:qFormat/>
    <w:rsid w:val="00EC7C0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Z4fK6jmxPdbzbdDqTImrmBzZgg==">CgMxLjAyCmlkLjMwajB6bGwyCmlkLjFmb2I5dGUyCWlkLmdqZGd4czgAciExT3VMazR3UHgwUTNsSFA5Y2Rrc2tGQi1oZDd5UHJ5YWE=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SIMM</dc:creator>
  <cp:lastModifiedBy>SIMM</cp:lastModifiedBy>
  <cp:revision>2</cp:revision>
  <dcterms:created xsi:type="dcterms:W3CDTF">2024-12-09T15:50:00Z</dcterms:created>
  <dcterms:modified xsi:type="dcterms:W3CDTF">2024-12-09T15:50:00Z</dcterms:modified>
</cp:coreProperties>
</file>