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59B" w:rsidRPr="00A4159B" w:rsidRDefault="00A4159B" w:rsidP="00A4159B">
      <w:pPr>
        <w:jc w:val="center"/>
        <w:rPr>
          <w:rFonts w:ascii="Footlight MT Light" w:hAnsi="Footlight MT Light"/>
          <w:color w:val="000000"/>
          <w:sz w:val="24"/>
          <w:szCs w:val="24"/>
        </w:rPr>
      </w:pPr>
      <w:r w:rsidRPr="00A4159B">
        <w:rPr>
          <w:rFonts w:ascii="Footlight MT Light" w:hAnsi="Footlight MT Light"/>
          <w:noProof/>
          <w:color w:val="000000"/>
          <w:sz w:val="24"/>
          <w:szCs w:val="24"/>
          <w:lang w:val="es-ES"/>
        </w:rPr>
        <w:drawing>
          <wp:inline distT="0" distB="0" distL="0" distR="0">
            <wp:extent cx="701675" cy="605790"/>
            <wp:effectExtent l="19050" t="0" r="3175" b="0"/>
            <wp:docPr id="1" name="Imagen 1" descr="Escudo Chascomú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 Chascomú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159B" w:rsidRPr="00A4159B" w:rsidRDefault="00A4159B" w:rsidP="00A4159B">
      <w:pPr>
        <w:keepNext/>
        <w:jc w:val="center"/>
        <w:outlineLvl w:val="0"/>
        <w:rPr>
          <w:b/>
          <w:bCs/>
          <w:color w:val="000000"/>
          <w:sz w:val="22"/>
          <w:szCs w:val="22"/>
        </w:rPr>
      </w:pPr>
      <w:r w:rsidRPr="00A4159B">
        <w:rPr>
          <w:b/>
          <w:bCs/>
          <w:color w:val="000000"/>
          <w:sz w:val="22"/>
          <w:szCs w:val="22"/>
        </w:rPr>
        <w:t>Honorable Concejo Deliberante</w:t>
      </w:r>
    </w:p>
    <w:p w:rsidR="00A4159B" w:rsidRPr="00A4159B" w:rsidRDefault="00A4159B" w:rsidP="00A4159B">
      <w:pPr>
        <w:jc w:val="center"/>
        <w:rPr>
          <w:b/>
          <w:bCs/>
          <w:color w:val="000000"/>
          <w:sz w:val="22"/>
          <w:szCs w:val="22"/>
        </w:rPr>
      </w:pPr>
      <w:r w:rsidRPr="00A4159B">
        <w:rPr>
          <w:b/>
          <w:bCs/>
          <w:color w:val="000000"/>
          <w:sz w:val="22"/>
          <w:szCs w:val="22"/>
        </w:rPr>
        <w:t>Sarmiento 56    -    Chascomús</w:t>
      </w:r>
    </w:p>
    <w:p w:rsidR="00A4159B" w:rsidRPr="00A4159B" w:rsidRDefault="00A4159B" w:rsidP="00A4159B">
      <w:pPr>
        <w:jc w:val="center"/>
        <w:rPr>
          <w:b/>
          <w:sz w:val="22"/>
          <w:szCs w:val="22"/>
          <w:lang w:val="es-ES_tradnl" w:eastAsia="en-US"/>
        </w:rPr>
      </w:pPr>
      <w:r w:rsidRPr="00A4159B">
        <w:rPr>
          <w:b/>
          <w:bCs/>
          <w:color w:val="000000"/>
          <w:sz w:val="22"/>
          <w:szCs w:val="22"/>
        </w:rPr>
        <w:t>“</w:t>
      </w:r>
      <w:r w:rsidRPr="00A4159B">
        <w:rPr>
          <w:rFonts w:eastAsia="Calibri"/>
          <w:b/>
          <w:sz w:val="22"/>
          <w:szCs w:val="22"/>
          <w:lang w:val="es-ES" w:eastAsia="en-US"/>
        </w:rPr>
        <w:t>2025: Año del 40° Aniversario del juicio a las Juntas Militares, hito de nuestra Democracia”</w:t>
      </w:r>
    </w:p>
    <w:p w:rsidR="00A4159B" w:rsidRPr="00A4159B" w:rsidRDefault="00A4159B" w:rsidP="00A4159B">
      <w:pPr>
        <w:jc w:val="center"/>
        <w:rPr>
          <w:rFonts w:ascii="Cambria" w:hAnsi="Cambria"/>
          <w:sz w:val="22"/>
          <w:szCs w:val="22"/>
          <w:lang w:val="es-ES_tradnl" w:eastAsia="en-US"/>
        </w:rPr>
      </w:pPr>
      <w:r w:rsidRPr="00A4159B">
        <w:rPr>
          <w:b/>
          <w:bCs/>
          <w:color w:val="000000"/>
          <w:sz w:val="22"/>
          <w:szCs w:val="22"/>
        </w:rPr>
        <w:t xml:space="preserve"> </w:t>
      </w:r>
    </w:p>
    <w:p w:rsidR="00A4159B" w:rsidRPr="004266C3" w:rsidRDefault="00A4159B" w:rsidP="00A4159B">
      <w:pPr>
        <w:spacing w:line="360" w:lineRule="auto"/>
        <w:jc w:val="right"/>
        <w:rPr>
          <w:rFonts w:ascii="Arial" w:eastAsia="Arial" w:hAnsi="Arial" w:cs="Arial"/>
          <w:bCs/>
          <w:sz w:val="22"/>
          <w:szCs w:val="22"/>
          <w:lang w:val="es-ES"/>
        </w:rPr>
      </w:pPr>
      <w:r w:rsidRPr="004266C3">
        <w:rPr>
          <w:rFonts w:ascii="Arial" w:eastAsia="Arial" w:hAnsi="Arial" w:cs="Arial"/>
          <w:bCs/>
          <w:sz w:val="22"/>
          <w:szCs w:val="22"/>
          <w:lang w:val="es-ES"/>
        </w:rPr>
        <w:t>Chascomús, 15 de agosto de 2025</w:t>
      </w:r>
      <w:r w:rsidRPr="004266C3">
        <w:rPr>
          <w:rFonts w:ascii="Arial" w:eastAsia="Arial" w:hAnsi="Arial" w:cs="Arial"/>
          <w:bCs/>
          <w:sz w:val="22"/>
          <w:szCs w:val="22"/>
          <w:lang w:val="es-ES"/>
        </w:rPr>
        <w:br/>
      </w:r>
    </w:p>
    <w:p w:rsidR="00A4159B" w:rsidRPr="004266C3" w:rsidRDefault="00A4159B" w:rsidP="00A4159B">
      <w:pPr>
        <w:spacing w:line="360" w:lineRule="auto"/>
        <w:jc w:val="right"/>
        <w:rPr>
          <w:rFonts w:ascii="Arial" w:eastAsia="Arial" w:hAnsi="Arial" w:cs="Arial"/>
          <w:bCs/>
          <w:sz w:val="22"/>
          <w:szCs w:val="22"/>
          <w:lang w:val="es-ES"/>
        </w:rPr>
      </w:pPr>
    </w:p>
    <w:p w:rsidR="00A4159B" w:rsidRPr="00171D92" w:rsidRDefault="00A4159B" w:rsidP="00A4159B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171D92">
        <w:rPr>
          <w:rFonts w:ascii="Arial" w:hAnsi="Arial" w:cs="Arial"/>
          <w:b/>
          <w:sz w:val="22"/>
          <w:szCs w:val="22"/>
          <w:lang w:val="es-ES"/>
        </w:rPr>
        <w:t xml:space="preserve">NS N° </w:t>
      </w:r>
    </w:p>
    <w:p w:rsidR="00A4159B" w:rsidRPr="00171D92" w:rsidRDefault="00A4159B" w:rsidP="00A4159B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171D92">
        <w:rPr>
          <w:rFonts w:ascii="Arial" w:hAnsi="Arial" w:cs="Arial"/>
          <w:b/>
          <w:sz w:val="22"/>
          <w:szCs w:val="22"/>
          <w:lang w:val="es-ES"/>
        </w:rPr>
        <w:t>Sres/as Concejales/as</w:t>
      </w:r>
    </w:p>
    <w:p w:rsidR="00A4159B" w:rsidRPr="004266C3" w:rsidRDefault="00A4159B" w:rsidP="00A4159B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4266C3">
        <w:rPr>
          <w:rFonts w:ascii="Arial" w:hAnsi="Arial" w:cs="Arial"/>
          <w:sz w:val="22"/>
          <w:szCs w:val="22"/>
        </w:rPr>
        <w:t xml:space="preserve">De mi mayor consideración: </w:t>
      </w:r>
    </w:p>
    <w:p w:rsidR="00A4159B" w:rsidRDefault="00A4159B" w:rsidP="00A4159B">
      <w:pPr>
        <w:spacing w:before="120" w:after="120"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4266C3">
        <w:rPr>
          <w:rFonts w:ascii="Arial" w:hAnsi="Arial" w:cs="Arial"/>
          <w:sz w:val="22"/>
          <w:szCs w:val="22"/>
        </w:rPr>
        <w:t xml:space="preserve">       Mediante la presente me dirijo a ustedes con el fin de informarles sobre las reuniones mantenidas y las tareas realizadas durante el mes de </w:t>
      </w:r>
      <w:r>
        <w:rPr>
          <w:rFonts w:ascii="Arial" w:hAnsi="Arial" w:cs="Arial"/>
          <w:sz w:val="22"/>
          <w:szCs w:val="22"/>
        </w:rPr>
        <w:t xml:space="preserve">AGOSTO </w:t>
      </w:r>
      <w:r w:rsidRPr="004266C3">
        <w:rPr>
          <w:rFonts w:ascii="Arial" w:hAnsi="Arial" w:cs="Arial"/>
          <w:sz w:val="22"/>
          <w:szCs w:val="22"/>
        </w:rPr>
        <w:t xml:space="preserve">de 2025 por este Observatorio Social Legislativo de Chascomús, así como también sobre los datos recabados. </w:t>
      </w:r>
    </w:p>
    <w:p w:rsidR="00062E49" w:rsidRDefault="00062E49" w:rsidP="00A4159B">
      <w:pPr>
        <w:spacing w:before="120" w:after="120"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Inicialmente, </w:t>
      </w:r>
      <w:r w:rsidR="003F77CA">
        <w:rPr>
          <w:rFonts w:ascii="Arial" w:hAnsi="Arial" w:cs="Arial"/>
          <w:sz w:val="22"/>
          <w:szCs w:val="22"/>
        </w:rPr>
        <w:t xml:space="preserve">el lunes 4 de agosto, </w:t>
      </w:r>
      <w:r>
        <w:rPr>
          <w:rFonts w:ascii="Arial" w:hAnsi="Arial" w:cs="Arial"/>
          <w:sz w:val="22"/>
          <w:szCs w:val="22"/>
        </w:rPr>
        <w:t xml:space="preserve">participamos de la inauguración del Nuevo Centro de Desarrollo Infantil (CDI), espacio destinado al cuidado </w:t>
      </w:r>
      <w:r w:rsidR="009E7DAA">
        <w:rPr>
          <w:rFonts w:ascii="Arial" w:hAnsi="Arial" w:cs="Arial"/>
          <w:sz w:val="22"/>
          <w:szCs w:val="22"/>
        </w:rPr>
        <w:t xml:space="preserve">integral </w:t>
      </w:r>
      <w:r>
        <w:rPr>
          <w:rFonts w:ascii="Arial" w:hAnsi="Arial" w:cs="Arial"/>
          <w:sz w:val="22"/>
          <w:szCs w:val="22"/>
        </w:rPr>
        <w:t xml:space="preserve">de </w:t>
      </w:r>
      <w:r w:rsidR="002D0DAA">
        <w:rPr>
          <w:rFonts w:ascii="Arial" w:hAnsi="Arial" w:cs="Arial"/>
          <w:sz w:val="22"/>
          <w:szCs w:val="22"/>
        </w:rPr>
        <w:t xml:space="preserve">180 </w:t>
      </w:r>
      <w:r>
        <w:rPr>
          <w:rFonts w:ascii="Arial" w:hAnsi="Arial" w:cs="Arial"/>
          <w:sz w:val="22"/>
          <w:szCs w:val="22"/>
        </w:rPr>
        <w:t xml:space="preserve">niños y niñas </w:t>
      </w:r>
      <w:r w:rsidR="00E9727A">
        <w:rPr>
          <w:rFonts w:ascii="Arial" w:hAnsi="Arial" w:cs="Arial"/>
          <w:sz w:val="22"/>
          <w:szCs w:val="22"/>
        </w:rPr>
        <w:t>de 45 días a 2 años</w:t>
      </w:r>
      <w:r w:rsidR="002D0DAA">
        <w:rPr>
          <w:rFonts w:ascii="Arial" w:hAnsi="Arial" w:cs="Arial"/>
          <w:sz w:val="22"/>
          <w:szCs w:val="22"/>
        </w:rPr>
        <w:t xml:space="preserve"> de edad</w:t>
      </w:r>
      <w:r w:rsidR="00E9727A">
        <w:rPr>
          <w:rFonts w:ascii="Arial" w:hAnsi="Arial" w:cs="Arial"/>
          <w:sz w:val="22"/>
          <w:szCs w:val="22"/>
        </w:rPr>
        <w:t>. Funcionará en el Barrio San Luis, en la esquina de Chubut y R</w:t>
      </w:r>
      <w:r w:rsidR="009E7DAA">
        <w:rPr>
          <w:rFonts w:ascii="Arial" w:hAnsi="Arial" w:cs="Arial"/>
          <w:sz w:val="22"/>
          <w:szCs w:val="22"/>
        </w:rPr>
        <w:t>amón</w:t>
      </w:r>
      <w:r w:rsidR="00E9727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9727A">
        <w:rPr>
          <w:rFonts w:ascii="Arial" w:hAnsi="Arial" w:cs="Arial"/>
          <w:sz w:val="22"/>
          <w:szCs w:val="22"/>
        </w:rPr>
        <w:t>Milani</w:t>
      </w:r>
      <w:proofErr w:type="spellEnd"/>
      <w:r w:rsidR="00E9727A">
        <w:rPr>
          <w:rFonts w:ascii="Arial" w:hAnsi="Arial" w:cs="Arial"/>
          <w:sz w:val="22"/>
          <w:szCs w:val="22"/>
        </w:rPr>
        <w:t xml:space="preserve">. Durante la mañana será CDI y en el horario de 17 hs. A 19 hs. </w:t>
      </w:r>
      <w:r w:rsidR="009E7DAA">
        <w:rPr>
          <w:rFonts w:ascii="Arial" w:hAnsi="Arial" w:cs="Arial"/>
          <w:sz w:val="22"/>
          <w:szCs w:val="22"/>
        </w:rPr>
        <w:t>s</w:t>
      </w:r>
      <w:r w:rsidR="00E9727A">
        <w:rPr>
          <w:rFonts w:ascii="Arial" w:hAnsi="Arial" w:cs="Arial"/>
          <w:sz w:val="22"/>
          <w:szCs w:val="22"/>
        </w:rPr>
        <w:t xml:space="preserve">erá sede del Centro Vespertino del Barrio San Luis. </w:t>
      </w:r>
    </w:p>
    <w:p w:rsidR="00480072" w:rsidRDefault="00B04146" w:rsidP="00A4159B">
      <w:pPr>
        <w:spacing w:before="120" w:after="120"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El</w:t>
      </w:r>
      <w:r w:rsidR="00910408">
        <w:rPr>
          <w:rFonts w:ascii="Arial" w:hAnsi="Arial" w:cs="Arial"/>
          <w:sz w:val="22"/>
          <w:szCs w:val="22"/>
        </w:rPr>
        <w:t xml:space="preserve"> espacio cuenta con salas diferenciadas según la edad, </w:t>
      </w:r>
      <w:r w:rsidR="00480072">
        <w:rPr>
          <w:rFonts w:ascii="Arial" w:hAnsi="Arial" w:cs="Arial"/>
          <w:sz w:val="22"/>
          <w:szCs w:val="22"/>
        </w:rPr>
        <w:t xml:space="preserve">espacios de juego, </w:t>
      </w:r>
      <w:r w:rsidR="001C5513" w:rsidRPr="001C5513">
        <w:rPr>
          <w:rFonts w:ascii="Arial" w:hAnsi="Arial" w:cs="Arial"/>
          <w:sz w:val="22"/>
          <w:szCs w:val="22"/>
        </w:rPr>
        <w:t>lactario, sanitarios, oficinas administr</w:t>
      </w:r>
      <w:r w:rsidR="00480072">
        <w:rPr>
          <w:rFonts w:ascii="Arial" w:hAnsi="Arial" w:cs="Arial"/>
          <w:sz w:val="22"/>
          <w:szCs w:val="22"/>
        </w:rPr>
        <w:t xml:space="preserve">ativas, espacios de servicios y </w:t>
      </w:r>
      <w:r w:rsidR="001C5513" w:rsidRPr="001C5513">
        <w:rPr>
          <w:rFonts w:ascii="Arial" w:hAnsi="Arial" w:cs="Arial"/>
          <w:sz w:val="22"/>
          <w:szCs w:val="22"/>
        </w:rPr>
        <w:t>patios</w:t>
      </w:r>
      <w:r w:rsidR="00910408">
        <w:rPr>
          <w:rFonts w:ascii="Arial" w:hAnsi="Arial" w:cs="Arial"/>
          <w:sz w:val="22"/>
          <w:szCs w:val="22"/>
        </w:rPr>
        <w:t xml:space="preserve">. Niñas y niños estarán acompañados por </w:t>
      </w:r>
      <w:r w:rsidR="009E7DAA">
        <w:rPr>
          <w:rFonts w:ascii="Arial" w:hAnsi="Arial" w:cs="Arial"/>
          <w:sz w:val="22"/>
          <w:szCs w:val="22"/>
        </w:rPr>
        <w:t xml:space="preserve">cuidadoras y </w:t>
      </w:r>
      <w:r w:rsidR="00910408">
        <w:rPr>
          <w:rFonts w:ascii="Arial" w:hAnsi="Arial" w:cs="Arial"/>
          <w:sz w:val="22"/>
          <w:szCs w:val="22"/>
        </w:rPr>
        <w:t xml:space="preserve">diferentes profesionales </w:t>
      </w:r>
      <w:r w:rsidR="00480072" w:rsidRPr="00480072">
        <w:rPr>
          <w:rFonts w:ascii="Arial" w:hAnsi="Arial" w:cs="Arial"/>
          <w:sz w:val="22"/>
          <w:szCs w:val="22"/>
        </w:rPr>
        <w:t>que ofrecen servicios de cuidado, estimulación temprana, nutrición y acompañamiento familiar para promover el desarrollo pleno de l</w:t>
      </w:r>
      <w:r w:rsidR="009E7DAA">
        <w:rPr>
          <w:rFonts w:ascii="Arial" w:hAnsi="Arial" w:cs="Arial"/>
          <w:sz w:val="22"/>
          <w:szCs w:val="22"/>
        </w:rPr>
        <w:t>as/</w:t>
      </w:r>
      <w:r w:rsidR="00480072" w:rsidRPr="00480072">
        <w:rPr>
          <w:rFonts w:ascii="Arial" w:hAnsi="Arial" w:cs="Arial"/>
          <w:sz w:val="22"/>
          <w:szCs w:val="22"/>
        </w:rPr>
        <w:t>os niñ</w:t>
      </w:r>
      <w:r w:rsidR="009E7DAA">
        <w:rPr>
          <w:rFonts w:ascii="Arial" w:hAnsi="Arial" w:cs="Arial"/>
          <w:sz w:val="22"/>
          <w:szCs w:val="22"/>
        </w:rPr>
        <w:t xml:space="preserve">as/os y asegurar sus derechos, así como también, brindarle a madres y/o padres, la posibilidad de desarrollar otras tareas durante el </w:t>
      </w:r>
      <w:r w:rsidR="003F77CA">
        <w:rPr>
          <w:rFonts w:ascii="Arial" w:hAnsi="Arial" w:cs="Arial"/>
          <w:sz w:val="22"/>
          <w:szCs w:val="22"/>
        </w:rPr>
        <w:t>cuidado.</w:t>
      </w:r>
    </w:p>
    <w:p w:rsidR="003F77CA" w:rsidRDefault="003F77CA" w:rsidP="003F77CA">
      <w:pPr>
        <w:spacing w:before="120" w:after="120"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Por otra parte, en misma fecha enviamos nota al Consejo Escolar de Chascomús</w:t>
      </w:r>
      <w:r w:rsidR="00D74613">
        <w:rPr>
          <w:rFonts w:ascii="Arial" w:hAnsi="Arial" w:cs="Arial"/>
          <w:sz w:val="22"/>
          <w:szCs w:val="22"/>
        </w:rPr>
        <w:t xml:space="preserve"> NS Nº 124</w:t>
      </w:r>
      <w:r>
        <w:rPr>
          <w:rFonts w:ascii="Arial" w:hAnsi="Arial" w:cs="Arial"/>
          <w:sz w:val="22"/>
          <w:szCs w:val="22"/>
        </w:rPr>
        <w:t xml:space="preserve"> consultando por la matrícula de las Escuelas de Educación Especial, con el fin de actualizar los datos del año 2024 y poder contar con información para el futuro trabajo que se realizará con las </w:t>
      </w:r>
      <w:r w:rsidR="00171D92">
        <w:rPr>
          <w:rFonts w:ascii="Arial" w:hAnsi="Arial" w:cs="Arial"/>
          <w:sz w:val="22"/>
          <w:szCs w:val="22"/>
        </w:rPr>
        <w:t>prácticas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profesionalizantes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tbl>
      <w:tblPr>
        <w:tblW w:w="936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680"/>
        <w:gridCol w:w="1000"/>
        <w:gridCol w:w="760"/>
        <w:gridCol w:w="820"/>
        <w:gridCol w:w="1000"/>
        <w:gridCol w:w="760"/>
        <w:gridCol w:w="800"/>
        <w:gridCol w:w="1000"/>
        <w:gridCol w:w="728"/>
        <w:gridCol w:w="812"/>
        <w:gridCol w:w="8"/>
      </w:tblGrid>
      <w:tr w:rsidR="00BA637F" w:rsidRPr="00BA637F" w:rsidTr="00BA637F">
        <w:trPr>
          <w:trHeight w:val="315"/>
        </w:trPr>
        <w:tc>
          <w:tcPr>
            <w:tcW w:w="1680" w:type="dxa"/>
            <w:vMerge w:val="restart"/>
            <w:tcBorders>
              <w:top w:val="nil"/>
              <w:left w:val="single" w:sz="8" w:space="0" w:color="00B0F0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:rsidR="00BA637F" w:rsidRPr="00BA637F" w:rsidRDefault="00BA637F" w:rsidP="00BA637F">
            <w:pPr>
              <w:ind w:left="0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es-ES"/>
              </w:rPr>
              <w:lastRenderedPageBreak/>
              <w:t>Modalidad y Nivel</w:t>
            </w:r>
          </w:p>
        </w:tc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es-ES"/>
              </w:rPr>
              <w:t>Total</w:t>
            </w:r>
          </w:p>
        </w:tc>
        <w:tc>
          <w:tcPr>
            <w:tcW w:w="2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es-ES"/>
              </w:rPr>
              <w:t>Estatal (b)</w:t>
            </w:r>
          </w:p>
        </w:tc>
        <w:tc>
          <w:tcPr>
            <w:tcW w:w="25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es-ES"/>
              </w:rPr>
              <w:t>Privado</w:t>
            </w:r>
          </w:p>
        </w:tc>
      </w:tr>
      <w:tr w:rsidR="00BA637F" w:rsidRPr="00BA637F" w:rsidTr="00BA637F">
        <w:trPr>
          <w:trHeight w:val="465"/>
        </w:trPr>
        <w:tc>
          <w:tcPr>
            <w:tcW w:w="1680" w:type="dxa"/>
            <w:vMerge/>
            <w:tcBorders>
              <w:top w:val="nil"/>
              <w:left w:val="single" w:sz="8" w:space="0" w:color="00B0F0"/>
              <w:bottom w:val="nil"/>
              <w:right w:val="nil"/>
            </w:tcBorders>
            <w:vAlign w:val="center"/>
            <w:hideMark/>
          </w:tcPr>
          <w:p w:rsidR="00BA637F" w:rsidRPr="00BA637F" w:rsidRDefault="00BA637F" w:rsidP="00BA637F">
            <w:pPr>
              <w:ind w:left="0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es-ES"/>
              </w:rPr>
              <w:t xml:space="preserve"> Unidades Educativas (a)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es-ES"/>
              </w:rPr>
              <w:t xml:space="preserve"> Alumnos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es-ES"/>
              </w:rPr>
              <w:t xml:space="preserve"> Secciones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es-ES"/>
              </w:rPr>
              <w:t xml:space="preserve"> Unidades Educativas (a)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es-ES"/>
              </w:rPr>
              <w:t xml:space="preserve"> Alumnos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es-ES"/>
              </w:rPr>
              <w:t xml:space="preserve"> Secciones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es-ES"/>
              </w:rPr>
              <w:t xml:space="preserve"> Unidades Educativas (a)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es-ES"/>
              </w:rPr>
              <w:t xml:space="preserve"> Alumnos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es-ES"/>
              </w:rPr>
              <w:t xml:space="preserve"> Secciones</w:t>
            </w:r>
          </w:p>
        </w:tc>
      </w:tr>
      <w:tr w:rsidR="00BA637F" w:rsidRPr="00BA637F" w:rsidTr="00BA637F">
        <w:trPr>
          <w:trHeight w:val="315"/>
        </w:trPr>
        <w:tc>
          <w:tcPr>
            <w:tcW w:w="1680" w:type="dxa"/>
            <w:tcBorders>
              <w:top w:val="nil"/>
              <w:left w:val="single" w:sz="8" w:space="0" w:color="00B0F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  <w:t xml:space="preserve">Total                                                                                              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  <w:t>98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  <w:t>13.641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  <w:t>642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  <w:t>86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  <w:t>10.977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  <w:t>548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  <w:t>12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  <w:t>2.664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  <w:t>94</w:t>
            </w:r>
          </w:p>
        </w:tc>
      </w:tr>
      <w:tr w:rsidR="00BA637F" w:rsidRPr="00BA637F" w:rsidTr="00BA637F">
        <w:trPr>
          <w:trHeight w:val="315"/>
        </w:trPr>
        <w:tc>
          <w:tcPr>
            <w:tcW w:w="1680" w:type="dxa"/>
            <w:tcBorders>
              <w:top w:val="nil"/>
              <w:left w:val="single" w:sz="8" w:space="0" w:color="00B0F0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es-ES"/>
              </w:rPr>
              <w:t xml:space="preserve">Niveles                                                                                            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es-ES"/>
              </w:rPr>
              <w:t>76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es-ES"/>
              </w:rPr>
              <w:t>10.125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es-ES"/>
              </w:rPr>
              <w:t>506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es-ES"/>
              </w:rPr>
              <w:t>65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es-ES"/>
              </w:rPr>
              <w:t>7.512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es-ES"/>
              </w:rPr>
              <w:t>414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es-ES"/>
              </w:rPr>
              <w:t>11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es-ES"/>
              </w:rPr>
              <w:t>2.613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es-ES"/>
              </w:rPr>
              <w:t>92</w:t>
            </w:r>
          </w:p>
        </w:tc>
      </w:tr>
      <w:tr w:rsidR="00BA637F" w:rsidRPr="00BA637F" w:rsidTr="00BA637F">
        <w:trPr>
          <w:trHeight w:val="315"/>
        </w:trPr>
        <w:tc>
          <w:tcPr>
            <w:tcW w:w="1680" w:type="dxa"/>
            <w:tcBorders>
              <w:top w:val="nil"/>
              <w:left w:val="single" w:sz="8" w:space="0" w:color="00B0F0"/>
              <w:bottom w:val="nil"/>
              <w:right w:val="nil"/>
            </w:tcBorders>
            <w:shd w:val="clear" w:color="000000" w:fill="D0E3EA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 xml:space="preserve">Nivel Inicial                                                                                 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0E3EA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24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D0E3EA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1.573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D0E3EA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103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0E3EA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D0E3EA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1.197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D0E3EA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86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0E3EA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D0E3EA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376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E3EA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17</w:t>
            </w:r>
          </w:p>
        </w:tc>
      </w:tr>
      <w:tr w:rsidR="00BA637F" w:rsidRPr="00BA637F" w:rsidTr="00BA637F">
        <w:trPr>
          <w:trHeight w:val="315"/>
        </w:trPr>
        <w:tc>
          <w:tcPr>
            <w:tcW w:w="1680" w:type="dxa"/>
            <w:tcBorders>
              <w:top w:val="nil"/>
              <w:left w:val="single" w:sz="8" w:space="0" w:color="00B0F0"/>
              <w:bottom w:val="nil"/>
              <w:right w:val="nil"/>
            </w:tcBorders>
            <w:shd w:val="clear" w:color="000000" w:fill="E9F1F5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 xml:space="preserve">Nivel Primario                                                                                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E9F1F5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37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9F1F5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4.086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E9F1F5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202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E9F1F5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34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9F1F5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3.180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E9F1F5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172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E9F1F5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E9F1F5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906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9F1F5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30</w:t>
            </w:r>
          </w:p>
        </w:tc>
      </w:tr>
      <w:tr w:rsidR="00BA637F" w:rsidRPr="00BA637F" w:rsidTr="00BA637F">
        <w:trPr>
          <w:trHeight w:val="315"/>
        </w:trPr>
        <w:tc>
          <w:tcPr>
            <w:tcW w:w="1680" w:type="dxa"/>
            <w:tcBorders>
              <w:top w:val="nil"/>
              <w:left w:val="single" w:sz="8" w:space="0" w:color="00B0F0"/>
              <w:bottom w:val="nil"/>
              <w:right w:val="nil"/>
            </w:tcBorders>
            <w:shd w:val="clear" w:color="000000" w:fill="D0E3EA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 xml:space="preserve">Nivel Secundario                                                                              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0E3EA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D0E3EA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3.531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D0E3EA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153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0E3EA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D0E3EA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2.373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D0E3EA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117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0E3EA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D0E3EA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1.158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E3EA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36</w:t>
            </w:r>
          </w:p>
        </w:tc>
      </w:tr>
      <w:tr w:rsidR="00BA637F" w:rsidRPr="00BA637F" w:rsidTr="00BA637F">
        <w:trPr>
          <w:trHeight w:val="315"/>
        </w:trPr>
        <w:tc>
          <w:tcPr>
            <w:tcW w:w="1680" w:type="dxa"/>
            <w:tcBorders>
              <w:top w:val="nil"/>
              <w:left w:val="single" w:sz="8" w:space="0" w:color="00B0F0"/>
              <w:bottom w:val="nil"/>
              <w:right w:val="nil"/>
            </w:tcBorders>
            <w:shd w:val="clear" w:color="000000" w:fill="E9F1F5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 xml:space="preserve">Nivel Superior                                                                                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E9F1F5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9F1F5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935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E9F1F5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48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E9F1F5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9F1F5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762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E9F1F5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39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E9F1F5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E9F1F5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173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9F1F5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9</w:t>
            </w:r>
          </w:p>
        </w:tc>
      </w:tr>
      <w:tr w:rsidR="00BA637F" w:rsidRPr="00BA637F" w:rsidTr="00BA637F">
        <w:trPr>
          <w:trHeight w:val="315"/>
        </w:trPr>
        <w:tc>
          <w:tcPr>
            <w:tcW w:w="1680" w:type="dxa"/>
            <w:tcBorders>
              <w:top w:val="nil"/>
              <w:left w:val="single" w:sz="8" w:space="0" w:color="00B0F0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es-ES"/>
              </w:rPr>
              <w:t xml:space="preserve">Modalidades                                                                                        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es-ES"/>
              </w:rPr>
              <w:t>22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val="es-ES"/>
              </w:rPr>
              <w:t>3.516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es-ES"/>
              </w:rPr>
              <w:t>136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es-ES"/>
              </w:rPr>
              <w:t>21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val="es-ES"/>
              </w:rPr>
              <w:t>3.465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es-ES"/>
              </w:rPr>
              <w:t>134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es-ES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val="es-ES"/>
              </w:rPr>
              <w:t>51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es-ES"/>
              </w:rPr>
              <w:t>2</w:t>
            </w:r>
          </w:p>
        </w:tc>
      </w:tr>
      <w:tr w:rsidR="00BA637F" w:rsidRPr="00BA637F" w:rsidTr="00BA637F">
        <w:trPr>
          <w:trHeight w:val="480"/>
        </w:trPr>
        <w:tc>
          <w:tcPr>
            <w:tcW w:w="1680" w:type="dxa"/>
            <w:tcBorders>
              <w:top w:val="nil"/>
              <w:left w:val="single" w:sz="8" w:space="0" w:color="00B0F0"/>
              <w:bottom w:val="nil"/>
              <w:right w:val="nil"/>
            </w:tcBorders>
            <w:shd w:val="clear" w:color="000000" w:fill="FFFF00"/>
            <w:vAlign w:val="bottom"/>
            <w:hideMark/>
          </w:tcPr>
          <w:p w:rsidR="00BA637F" w:rsidRPr="00BA637F" w:rsidRDefault="00BA637F" w:rsidP="00BA637F">
            <w:pPr>
              <w:ind w:left="0"/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  <w:t xml:space="preserve">Educación Técnico Profesional                                                                 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  <w:t>1.018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  <w:t>43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  <w:t>1.018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  <w:t>43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-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-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-</w:t>
            </w:r>
          </w:p>
        </w:tc>
      </w:tr>
      <w:tr w:rsidR="00BA637F" w:rsidRPr="00BA637F" w:rsidTr="00BA637F">
        <w:trPr>
          <w:trHeight w:val="315"/>
        </w:trPr>
        <w:tc>
          <w:tcPr>
            <w:tcW w:w="1680" w:type="dxa"/>
            <w:tcBorders>
              <w:top w:val="nil"/>
              <w:left w:val="single" w:sz="8" w:space="0" w:color="00B0F0"/>
              <w:bottom w:val="nil"/>
              <w:right w:val="nil"/>
            </w:tcBorders>
            <w:shd w:val="clear" w:color="000000" w:fill="D0E3EA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 xml:space="preserve">Nivel Secundario (f)                                                                     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0E3EA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D0E3EA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1.018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D0E3EA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43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0E3EA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D0E3EA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1.018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D0E3EA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43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0E3EA"/>
            <w:noWrap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-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D0E3EA"/>
            <w:noWrap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-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E3EA"/>
            <w:noWrap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-</w:t>
            </w:r>
          </w:p>
        </w:tc>
      </w:tr>
      <w:tr w:rsidR="00BA637F" w:rsidRPr="00BA637F" w:rsidTr="00BA637F">
        <w:trPr>
          <w:trHeight w:val="315"/>
        </w:trPr>
        <w:tc>
          <w:tcPr>
            <w:tcW w:w="1680" w:type="dxa"/>
            <w:tcBorders>
              <w:top w:val="nil"/>
              <w:left w:val="single" w:sz="8" w:space="0" w:color="00B0F0"/>
              <w:bottom w:val="nil"/>
              <w:right w:val="nil"/>
            </w:tcBorders>
            <w:shd w:val="clear" w:color="000000" w:fill="E9F1F5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 xml:space="preserve">Nivel Superior                                                                           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E9F1F5"/>
            <w:noWrap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9F1F5"/>
            <w:noWrap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E9F1F5"/>
            <w:noWrap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E9F1F5"/>
            <w:noWrap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9F1F5"/>
            <w:noWrap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E9F1F5"/>
            <w:noWrap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E9F1F5"/>
            <w:noWrap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-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E9F1F5"/>
            <w:noWrap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-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9F1F5"/>
            <w:noWrap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-</w:t>
            </w:r>
          </w:p>
        </w:tc>
      </w:tr>
      <w:tr w:rsidR="00BA637F" w:rsidRPr="00BA637F" w:rsidTr="00BA637F">
        <w:trPr>
          <w:trHeight w:val="480"/>
        </w:trPr>
        <w:tc>
          <w:tcPr>
            <w:tcW w:w="1680" w:type="dxa"/>
            <w:tcBorders>
              <w:top w:val="nil"/>
              <w:left w:val="single" w:sz="8" w:space="0" w:color="00B0F0"/>
              <w:bottom w:val="nil"/>
              <w:right w:val="nil"/>
            </w:tcBorders>
            <w:shd w:val="clear" w:color="000000" w:fill="FFFF00"/>
            <w:vAlign w:val="bottom"/>
            <w:hideMark/>
          </w:tcPr>
          <w:p w:rsidR="00BA637F" w:rsidRPr="00BA637F" w:rsidRDefault="00BA637F" w:rsidP="00BA637F">
            <w:pPr>
              <w:ind w:left="0"/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  <w:t xml:space="preserve">Educación de Jóvenes y Adultos                                                                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  <w:t>813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  <w:t>4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  <w:t>762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  <w:t>28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  <w:t>1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  <w:t>51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  <w:t>2</w:t>
            </w:r>
          </w:p>
        </w:tc>
      </w:tr>
      <w:tr w:rsidR="00BA637F" w:rsidRPr="00BA637F" w:rsidTr="00BA637F">
        <w:trPr>
          <w:trHeight w:val="315"/>
        </w:trPr>
        <w:tc>
          <w:tcPr>
            <w:tcW w:w="1680" w:type="dxa"/>
            <w:tcBorders>
              <w:top w:val="nil"/>
              <w:left w:val="single" w:sz="8" w:space="0" w:color="00B0F0"/>
              <w:bottom w:val="nil"/>
              <w:right w:val="nil"/>
            </w:tcBorders>
            <w:shd w:val="clear" w:color="000000" w:fill="D0E3EA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 xml:space="preserve">Nivel Primario                                                                           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0E3EA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D0E3EA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95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D0E3EA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0E3EA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D0E3EA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95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D0E3EA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0E3EA"/>
            <w:noWrap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-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D0E3EA"/>
            <w:noWrap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-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E3EA"/>
            <w:noWrap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-</w:t>
            </w:r>
          </w:p>
        </w:tc>
      </w:tr>
      <w:tr w:rsidR="00BA637F" w:rsidRPr="00BA637F" w:rsidTr="00BA637F">
        <w:trPr>
          <w:trHeight w:val="315"/>
        </w:trPr>
        <w:tc>
          <w:tcPr>
            <w:tcW w:w="1680" w:type="dxa"/>
            <w:tcBorders>
              <w:top w:val="nil"/>
              <w:left w:val="single" w:sz="8" w:space="0" w:color="00B0F0"/>
              <w:bottom w:val="nil"/>
              <w:right w:val="nil"/>
            </w:tcBorders>
            <w:shd w:val="clear" w:color="000000" w:fill="E9F1F5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 xml:space="preserve">Nivel Secundario                                                                         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E9F1F5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9F1F5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121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E9F1F5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E9F1F5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9F1F5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121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E9F1F5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E9F1F5"/>
            <w:noWrap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-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E9F1F5"/>
            <w:noWrap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-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9F1F5"/>
            <w:noWrap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-</w:t>
            </w:r>
          </w:p>
        </w:tc>
      </w:tr>
      <w:tr w:rsidR="00BA637F" w:rsidRPr="00BA637F" w:rsidTr="00BA637F">
        <w:trPr>
          <w:trHeight w:val="480"/>
        </w:trPr>
        <w:tc>
          <w:tcPr>
            <w:tcW w:w="1680" w:type="dxa"/>
            <w:tcBorders>
              <w:top w:val="nil"/>
              <w:left w:val="single" w:sz="8" w:space="0" w:color="00B0F0"/>
              <w:bottom w:val="nil"/>
              <w:right w:val="nil"/>
            </w:tcBorders>
            <w:shd w:val="clear" w:color="000000" w:fill="D0E3EA"/>
            <w:vAlign w:val="bottom"/>
            <w:hideMark/>
          </w:tcPr>
          <w:p w:rsidR="00BA637F" w:rsidRPr="00BA637F" w:rsidRDefault="00BA637F" w:rsidP="00BA637F">
            <w:pPr>
              <w:ind w:left="0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 xml:space="preserve">Plan Fines (Trayectos y Deudores)                                                        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0E3EA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D0E3EA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D0E3EA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0E3EA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D0E3EA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106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D0E3EA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0E3EA"/>
            <w:noWrap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-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D0E3EA"/>
            <w:noWrap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-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E3EA"/>
            <w:noWrap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-</w:t>
            </w:r>
          </w:p>
        </w:tc>
      </w:tr>
      <w:tr w:rsidR="00BA637F" w:rsidRPr="00BA637F" w:rsidTr="00BA637F">
        <w:trPr>
          <w:trHeight w:val="315"/>
        </w:trPr>
        <w:tc>
          <w:tcPr>
            <w:tcW w:w="1680" w:type="dxa"/>
            <w:tcBorders>
              <w:top w:val="nil"/>
              <w:left w:val="single" w:sz="8" w:space="0" w:color="00B0F0"/>
              <w:bottom w:val="nil"/>
              <w:right w:val="nil"/>
            </w:tcBorders>
            <w:shd w:val="clear" w:color="000000" w:fill="E9F1F5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 xml:space="preserve">Formación Profesional                                                                    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E9F1F5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9F1F5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491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E9F1F5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16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E9F1F5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9F1F5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440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E9F1F5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14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E9F1F5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E9F1F5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51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9F1F5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2</w:t>
            </w:r>
          </w:p>
        </w:tc>
      </w:tr>
      <w:tr w:rsidR="00BA637F" w:rsidRPr="00BA637F" w:rsidTr="00BA637F">
        <w:trPr>
          <w:trHeight w:val="315"/>
        </w:trPr>
        <w:tc>
          <w:tcPr>
            <w:tcW w:w="1680" w:type="dxa"/>
            <w:tcBorders>
              <w:top w:val="nil"/>
              <w:left w:val="single" w:sz="8" w:space="0" w:color="00B0F0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  <w:t xml:space="preserve">Educación Especial                                                                            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  <w:t>328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///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  <w:t>328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///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-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-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///</w:t>
            </w:r>
          </w:p>
        </w:tc>
      </w:tr>
      <w:tr w:rsidR="00BA637F" w:rsidRPr="00BA637F" w:rsidTr="00BA637F">
        <w:trPr>
          <w:trHeight w:val="315"/>
        </w:trPr>
        <w:tc>
          <w:tcPr>
            <w:tcW w:w="1680" w:type="dxa"/>
            <w:tcBorders>
              <w:top w:val="nil"/>
              <w:left w:val="single" w:sz="8" w:space="0" w:color="00B0F0"/>
              <w:bottom w:val="nil"/>
              <w:right w:val="nil"/>
            </w:tcBorders>
            <w:shd w:val="clear" w:color="000000" w:fill="D0E3EA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 xml:space="preserve">Nivel Inicial                                                                            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0E3EA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D0E3EA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58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D0E3EA"/>
            <w:noWrap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///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0E3EA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D0E3EA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58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D0E3EA"/>
            <w:noWrap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///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0E3EA"/>
            <w:noWrap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-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D0E3EA"/>
            <w:noWrap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-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E3EA"/>
            <w:noWrap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///</w:t>
            </w:r>
          </w:p>
        </w:tc>
      </w:tr>
      <w:tr w:rsidR="00BA637F" w:rsidRPr="00BA637F" w:rsidTr="00BA637F">
        <w:trPr>
          <w:trHeight w:val="315"/>
        </w:trPr>
        <w:tc>
          <w:tcPr>
            <w:tcW w:w="1680" w:type="dxa"/>
            <w:tcBorders>
              <w:top w:val="nil"/>
              <w:left w:val="single" w:sz="8" w:space="0" w:color="00B0F0"/>
              <w:bottom w:val="nil"/>
              <w:right w:val="nil"/>
            </w:tcBorders>
            <w:shd w:val="clear" w:color="000000" w:fill="E9F1F5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 xml:space="preserve">Nivel Primario                                                                           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E9F1F5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9F1F5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110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E9F1F5"/>
            <w:noWrap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///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E9F1F5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9F1F5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110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E9F1F5"/>
            <w:noWrap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///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E9F1F5"/>
            <w:noWrap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-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E9F1F5"/>
            <w:noWrap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-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9F1F5"/>
            <w:noWrap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///</w:t>
            </w:r>
          </w:p>
        </w:tc>
      </w:tr>
      <w:tr w:rsidR="00BA637F" w:rsidRPr="00BA637F" w:rsidTr="00BA637F">
        <w:trPr>
          <w:trHeight w:val="315"/>
        </w:trPr>
        <w:tc>
          <w:tcPr>
            <w:tcW w:w="1680" w:type="dxa"/>
            <w:tcBorders>
              <w:top w:val="nil"/>
              <w:left w:val="single" w:sz="8" w:space="0" w:color="00B0F0"/>
              <w:bottom w:val="nil"/>
              <w:right w:val="nil"/>
            </w:tcBorders>
            <w:shd w:val="clear" w:color="000000" w:fill="D0E3EA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 xml:space="preserve">Formación Integral (c)                                                                   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0E3EA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D0E3EA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160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D0E3EA"/>
            <w:noWrap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///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0E3EA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D0E3EA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160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D0E3EA"/>
            <w:noWrap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///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0E3EA"/>
            <w:noWrap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-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D0E3EA"/>
            <w:noWrap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-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E3EA"/>
            <w:noWrap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///</w:t>
            </w:r>
          </w:p>
        </w:tc>
      </w:tr>
      <w:tr w:rsidR="00BA637F" w:rsidRPr="00BA637F" w:rsidTr="00BA637F">
        <w:trPr>
          <w:trHeight w:val="315"/>
        </w:trPr>
        <w:tc>
          <w:tcPr>
            <w:tcW w:w="1680" w:type="dxa"/>
            <w:tcBorders>
              <w:top w:val="nil"/>
              <w:left w:val="single" w:sz="8" w:space="0" w:color="00B0F0"/>
              <w:bottom w:val="nil"/>
              <w:right w:val="nil"/>
            </w:tcBorders>
            <w:shd w:val="clear" w:color="000000" w:fill="E9F1F5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 xml:space="preserve">Formación Profesional                                                                    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E9F1F5"/>
            <w:noWrap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9F1F5"/>
            <w:noWrap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E9F1F5"/>
            <w:noWrap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///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E9F1F5"/>
            <w:noWrap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9F1F5"/>
            <w:noWrap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E9F1F5"/>
            <w:noWrap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///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E9F1F5"/>
            <w:noWrap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-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E9F1F5"/>
            <w:noWrap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-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9F1F5"/>
            <w:noWrap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///</w:t>
            </w:r>
          </w:p>
        </w:tc>
      </w:tr>
      <w:tr w:rsidR="00BA637F" w:rsidRPr="00BA637F" w:rsidTr="00BA637F">
        <w:trPr>
          <w:trHeight w:val="480"/>
        </w:trPr>
        <w:tc>
          <w:tcPr>
            <w:tcW w:w="1680" w:type="dxa"/>
            <w:tcBorders>
              <w:top w:val="nil"/>
              <w:left w:val="single" w:sz="8" w:space="0" w:color="00B0F0"/>
              <w:bottom w:val="nil"/>
              <w:right w:val="nil"/>
            </w:tcBorders>
            <w:shd w:val="clear" w:color="000000" w:fill="D0E3EA"/>
            <w:vAlign w:val="bottom"/>
            <w:hideMark/>
          </w:tcPr>
          <w:p w:rsidR="00BA637F" w:rsidRPr="00BA637F" w:rsidRDefault="00BA637F" w:rsidP="00BA637F">
            <w:pPr>
              <w:ind w:left="0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 xml:space="preserve">Residencia Laboral, Pasantías, Artística                                                 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0E3EA"/>
            <w:noWrap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D0E3EA"/>
            <w:noWrap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D0E3EA"/>
            <w:noWrap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///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0E3EA"/>
            <w:noWrap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D0E3EA"/>
            <w:noWrap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D0E3EA"/>
            <w:noWrap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///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0E3EA"/>
            <w:noWrap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-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D0E3EA"/>
            <w:noWrap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-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E3EA"/>
            <w:noWrap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///</w:t>
            </w:r>
          </w:p>
        </w:tc>
      </w:tr>
      <w:tr w:rsidR="00BA637F" w:rsidRPr="00BA637F" w:rsidTr="00BA637F">
        <w:trPr>
          <w:trHeight w:val="315"/>
        </w:trPr>
        <w:tc>
          <w:tcPr>
            <w:tcW w:w="1680" w:type="dxa"/>
            <w:tcBorders>
              <w:top w:val="nil"/>
              <w:left w:val="single" w:sz="8" w:space="0" w:color="00B0F0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  <w:t xml:space="preserve">Educación Artística                                                                           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  <w:t>4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  <w:t>795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  <w:t>43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  <w:t>4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  <w:t>795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  <w:t>43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-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-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-</w:t>
            </w:r>
          </w:p>
        </w:tc>
      </w:tr>
      <w:tr w:rsidR="00BA637F" w:rsidRPr="00BA637F" w:rsidTr="00BA637F">
        <w:trPr>
          <w:trHeight w:val="315"/>
        </w:trPr>
        <w:tc>
          <w:tcPr>
            <w:tcW w:w="1680" w:type="dxa"/>
            <w:tcBorders>
              <w:top w:val="nil"/>
              <w:left w:val="single" w:sz="8" w:space="0" w:color="00B0F0"/>
              <w:bottom w:val="nil"/>
              <w:right w:val="nil"/>
            </w:tcBorders>
            <w:shd w:val="clear" w:color="000000" w:fill="D0E3EA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 xml:space="preserve">Nivel Secundario                                                                         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0E3EA"/>
            <w:noWrap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D0E3EA"/>
            <w:noWrap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D0E3EA"/>
            <w:noWrap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0E3EA"/>
            <w:noWrap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D0E3EA"/>
            <w:noWrap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D0E3EA"/>
            <w:noWrap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0E3EA"/>
            <w:noWrap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-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D0E3EA"/>
            <w:noWrap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-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E3EA"/>
            <w:noWrap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-</w:t>
            </w:r>
          </w:p>
        </w:tc>
      </w:tr>
      <w:tr w:rsidR="00BA637F" w:rsidRPr="00BA637F" w:rsidTr="00BA637F">
        <w:trPr>
          <w:trHeight w:val="315"/>
        </w:trPr>
        <w:tc>
          <w:tcPr>
            <w:tcW w:w="1680" w:type="dxa"/>
            <w:tcBorders>
              <w:top w:val="nil"/>
              <w:left w:val="single" w:sz="8" w:space="0" w:color="00B0F0"/>
              <w:bottom w:val="nil"/>
              <w:right w:val="nil"/>
            </w:tcBorders>
            <w:shd w:val="clear" w:color="000000" w:fill="E9F1F5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 xml:space="preserve">Nivel Superior                                                                           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E9F1F5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9F1F5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406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E9F1F5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22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E9F1F5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9F1F5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406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E9F1F5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22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E9F1F5"/>
            <w:noWrap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-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E9F1F5"/>
            <w:noWrap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-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9F1F5"/>
            <w:noWrap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-</w:t>
            </w:r>
          </w:p>
        </w:tc>
      </w:tr>
      <w:tr w:rsidR="00BA637F" w:rsidRPr="00BA637F" w:rsidTr="00BA637F">
        <w:trPr>
          <w:trHeight w:val="315"/>
        </w:trPr>
        <w:tc>
          <w:tcPr>
            <w:tcW w:w="1680" w:type="dxa"/>
            <w:tcBorders>
              <w:top w:val="nil"/>
              <w:left w:val="single" w:sz="8" w:space="0" w:color="00B0F0"/>
              <w:bottom w:val="nil"/>
              <w:right w:val="nil"/>
            </w:tcBorders>
            <w:shd w:val="clear" w:color="000000" w:fill="D0E3EA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 xml:space="preserve">Ciclo de Iniciación                                                                      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0E3EA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D0E3EA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114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D0E3EA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0E3EA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D0E3EA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114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D0E3EA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0E3EA"/>
            <w:noWrap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-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D0E3EA"/>
            <w:noWrap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-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E3EA"/>
            <w:noWrap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-</w:t>
            </w:r>
          </w:p>
        </w:tc>
      </w:tr>
      <w:tr w:rsidR="00BA637F" w:rsidRPr="00BA637F" w:rsidTr="00BA637F">
        <w:trPr>
          <w:trHeight w:val="315"/>
        </w:trPr>
        <w:tc>
          <w:tcPr>
            <w:tcW w:w="1680" w:type="dxa"/>
            <w:tcBorders>
              <w:top w:val="nil"/>
              <w:left w:val="single" w:sz="8" w:space="0" w:color="00B0F0"/>
              <w:bottom w:val="nil"/>
              <w:right w:val="nil"/>
            </w:tcBorders>
            <w:shd w:val="clear" w:color="000000" w:fill="E9F1F5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 xml:space="preserve">Ciclo Medio                                                                              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E9F1F5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9F1F5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275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E9F1F5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14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E9F1F5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9F1F5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275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E9F1F5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14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E9F1F5"/>
            <w:noWrap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-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E9F1F5"/>
            <w:noWrap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-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9F1F5"/>
            <w:noWrap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-</w:t>
            </w:r>
          </w:p>
        </w:tc>
      </w:tr>
      <w:tr w:rsidR="00BA637F" w:rsidRPr="00BA637F" w:rsidTr="00BA637F">
        <w:trPr>
          <w:trHeight w:val="315"/>
        </w:trPr>
        <w:tc>
          <w:tcPr>
            <w:tcW w:w="1680" w:type="dxa"/>
            <w:tcBorders>
              <w:top w:val="nil"/>
              <w:left w:val="single" w:sz="8" w:space="0" w:color="00B0F0"/>
              <w:bottom w:val="nil"/>
              <w:right w:val="nil"/>
            </w:tcBorders>
            <w:shd w:val="clear" w:color="000000" w:fill="D0E3EA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 xml:space="preserve">Cursos y Talleres                                                                        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0E3EA"/>
            <w:noWrap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D0E3EA"/>
            <w:noWrap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D0E3EA"/>
            <w:noWrap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0E3EA"/>
            <w:noWrap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D0E3EA"/>
            <w:noWrap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D0E3EA"/>
            <w:noWrap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0E3EA"/>
            <w:noWrap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-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D0E3EA"/>
            <w:noWrap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-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E3EA"/>
            <w:noWrap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-</w:t>
            </w:r>
          </w:p>
        </w:tc>
      </w:tr>
      <w:tr w:rsidR="00BA637F" w:rsidRPr="00BA637F" w:rsidTr="00BA637F">
        <w:trPr>
          <w:trHeight w:val="315"/>
        </w:trPr>
        <w:tc>
          <w:tcPr>
            <w:tcW w:w="1680" w:type="dxa"/>
            <w:tcBorders>
              <w:top w:val="nil"/>
              <w:left w:val="single" w:sz="8" w:space="0" w:color="00B0F0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  <w:t xml:space="preserve">Educación Física (d)                                                                          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  <w:t>458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  <w:t>458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-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-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-</w:t>
            </w:r>
          </w:p>
        </w:tc>
      </w:tr>
      <w:tr w:rsidR="00BA637F" w:rsidRPr="00BA637F" w:rsidTr="00BA637F">
        <w:trPr>
          <w:trHeight w:val="480"/>
        </w:trPr>
        <w:tc>
          <w:tcPr>
            <w:tcW w:w="1680" w:type="dxa"/>
            <w:tcBorders>
              <w:top w:val="nil"/>
              <w:left w:val="single" w:sz="8" w:space="0" w:color="00B0F0"/>
              <w:bottom w:val="nil"/>
              <w:right w:val="nil"/>
            </w:tcBorders>
            <w:shd w:val="clear" w:color="000000" w:fill="FFFF00"/>
            <w:vAlign w:val="bottom"/>
            <w:hideMark/>
          </w:tcPr>
          <w:p w:rsidR="00BA637F" w:rsidRPr="00BA637F" w:rsidRDefault="00BA637F" w:rsidP="00BA637F">
            <w:pPr>
              <w:ind w:left="0"/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  <w:t xml:space="preserve">Psicología Comunitaria y Pedagogía Social (e)                                                 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  <w:t>1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  <w:t>104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  <w:t>1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  <w:t>104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A637F" w:rsidRPr="00BA637F" w:rsidRDefault="00BA637F" w:rsidP="00BA637F">
            <w:pPr>
              <w:ind w:left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-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-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BA637F" w:rsidRPr="00BA637F" w:rsidRDefault="00BA637F" w:rsidP="00BA63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-</w:t>
            </w:r>
          </w:p>
        </w:tc>
      </w:tr>
      <w:tr w:rsidR="00BA637F" w:rsidRPr="00BA637F" w:rsidTr="00BA637F">
        <w:trPr>
          <w:gridAfter w:val="1"/>
          <w:wAfter w:w="8" w:type="dxa"/>
          <w:trHeight w:val="300"/>
        </w:trPr>
        <w:tc>
          <w:tcPr>
            <w:tcW w:w="9360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37F" w:rsidRDefault="00BA637F" w:rsidP="00BA637F">
            <w:pPr>
              <w:ind w:left="0"/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t>(a) Las unidades educativas no son establecimientos ni unidades de servicio, su definición es equivalente a oferta educativa.</w:t>
            </w: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br/>
              <w:t>(b) Incluye las escuelas estatales de dependencia municipal.</w:t>
            </w: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br/>
              <w:t>(c) Formación Integral corresponde a la Propuesta de Adolescentes, Jóvenes y Adultos con Discapacidad.</w:t>
            </w: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br/>
              <w:t>(d) Incluye sólo los Centros de Educación Física (CEF).</w:t>
            </w: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br/>
              <w:t>(e) Incluye sólo los Centros de Educación Complementarios (CEC).</w:t>
            </w: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br/>
              <w:t>(f) Incluye Educación Profesional Secundaria.</w:t>
            </w: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br/>
            </w:r>
            <w:r w:rsidRPr="00BA637F"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  <w:t>Nota:</w:t>
            </w: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br/>
              <w:t>Esta publicación no incluye los Centros de Capacitación, Información e Investigación Educativa (CIIE).</w:t>
            </w: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br/>
              <w:t>Modalidad Educación Técnico Profesional: se incorporó la nueva Educación Profesional Secundaria. (Resolución 1873/22) implementada desde el año 2023.</w:t>
            </w:r>
            <w:r w:rsidRPr="00BA637F">
              <w:rPr>
                <w:rFonts w:ascii="Calibri" w:hAnsi="Calibri" w:cs="Calibri"/>
                <w:sz w:val="16"/>
                <w:szCs w:val="16"/>
                <w:lang w:val="es-ES"/>
              </w:rPr>
              <w:br/>
              <w:t xml:space="preserve">Modalidad Especial: la variación de Unidades Educativas y Matrícula entre los Niveles Formación Integral y Formación Laboral se debe al cambio estructural que se implementó por las resoluciones 1269/2011, 3072/2015 y 1664/2017. </w:t>
            </w:r>
          </w:p>
          <w:p w:rsidR="00BA637F" w:rsidRPr="00BA637F" w:rsidRDefault="00BA637F" w:rsidP="00BA637F">
            <w:pPr>
              <w:ind w:left="0"/>
              <w:rPr>
                <w:rFonts w:ascii="Calibri" w:hAnsi="Calibri" w:cs="Calibri"/>
                <w:sz w:val="16"/>
                <w:szCs w:val="16"/>
                <w:lang w:val="es-ES"/>
              </w:rPr>
            </w:pPr>
          </w:p>
        </w:tc>
      </w:tr>
      <w:tr w:rsidR="00BA637F" w:rsidRPr="00BA637F" w:rsidTr="00BA637F">
        <w:trPr>
          <w:gridAfter w:val="1"/>
          <w:wAfter w:w="8" w:type="dxa"/>
          <w:trHeight w:val="300"/>
        </w:trPr>
        <w:tc>
          <w:tcPr>
            <w:tcW w:w="936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637F" w:rsidRPr="00BA637F" w:rsidRDefault="00BA637F" w:rsidP="00BA637F">
            <w:pPr>
              <w:ind w:left="0"/>
              <w:rPr>
                <w:rFonts w:ascii="Calibri" w:hAnsi="Calibri" w:cs="Calibri"/>
                <w:sz w:val="16"/>
                <w:szCs w:val="16"/>
                <w:lang w:val="es-ES"/>
              </w:rPr>
            </w:pPr>
          </w:p>
        </w:tc>
      </w:tr>
      <w:tr w:rsidR="00BA637F" w:rsidRPr="00BA637F" w:rsidTr="00BA637F">
        <w:trPr>
          <w:gridAfter w:val="1"/>
          <w:wAfter w:w="8" w:type="dxa"/>
          <w:trHeight w:val="300"/>
        </w:trPr>
        <w:tc>
          <w:tcPr>
            <w:tcW w:w="936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637F" w:rsidRPr="00BA637F" w:rsidRDefault="00BA637F" w:rsidP="00BA637F">
            <w:pPr>
              <w:ind w:left="0"/>
              <w:rPr>
                <w:rFonts w:ascii="Calibri" w:hAnsi="Calibri" w:cs="Calibri"/>
                <w:sz w:val="16"/>
                <w:szCs w:val="16"/>
                <w:lang w:val="es-ES"/>
              </w:rPr>
            </w:pPr>
          </w:p>
        </w:tc>
      </w:tr>
      <w:tr w:rsidR="00BA637F" w:rsidRPr="00BA637F" w:rsidTr="00BA637F">
        <w:trPr>
          <w:gridAfter w:val="1"/>
          <w:wAfter w:w="8" w:type="dxa"/>
          <w:trHeight w:val="300"/>
        </w:trPr>
        <w:tc>
          <w:tcPr>
            <w:tcW w:w="936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637F" w:rsidRPr="00BA637F" w:rsidRDefault="00BA637F" w:rsidP="00BA637F">
            <w:pPr>
              <w:ind w:left="0"/>
              <w:rPr>
                <w:rFonts w:ascii="Calibri" w:hAnsi="Calibri" w:cs="Calibri"/>
                <w:sz w:val="16"/>
                <w:szCs w:val="16"/>
                <w:lang w:val="es-ES"/>
              </w:rPr>
            </w:pPr>
          </w:p>
        </w:tc>
      </w:tr>
      <w:tr w:rsidR="00BA637F" w:rsidRPr="00BA637F" w:rsidTr="00BA637F">
        <w:trPr>
          <w:gridAfter w:val="1"/>
          <w:wAfter w:w="8" w:type="dxa"/>
          <w:trHeight w:val="300"/>
        </w:trPr>
        <w:tc>
          <w:tcPr>
            <w:tcW w:w="936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637F" w:rsidRPr="00BA637F" w:rsidRDefault="00BA637F" w:rsidP="00BA637F">
            <w:pPr>
              <w:ind w:left="0"/>
              <w:rPr>
                <w:rFonts w:ascii="Calibri" w:hAnsi="Calibri" w:cs="Calibri"/>
                <w:sz w:val="16"/>
                <w:szCs w:val="16"/>
                <w:lang w:val="es-ES"/>
              </w:rPr>
            </w:pPr>
          </w:p>
        </w:tc>
      </w:tr>
      <w:tr w:rsidR="00BA637F" w:rsidRPr="00BA637F" w:rsidTr="00BA637F">
        <w:trPr>
          <w:gridAfter w:val="1"/>
          <w:wAfter w:w="8" w:type="dxa"/>
          <w:trHeight w:val="300"/>
        </w:trPr>
        <w:tc>
          <w:tcPr>
            <w:tcW w:w="936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637F" w:rsidRPr="00BA637F" w:rsidRDefault="00BA637F" w:rsidP="00BA637F">
            <w:pPr>
              <w:ind w:left="0"/>
              <w:rPr>
                <w:rFonts w:ascii="Calibri" w:hAnsi="Calibri" w:cs="Calibri"/>
                <w:sz w:val="16"/>
                <w:szCs w:val="16"/>
                <w:lang w:val="es-ES"/>
              </w:rPr>
            </w:pPr>
          </w:p>
        </w:tc>
      </w:tr>
      <w:tr w:rsidR="00BA637F" w:rsidRPr="00BA637F" w:rsidTr="00BA637F">
        <w:trPr>
          <w:gridAfter w:val="1"/>
          <w:wAfter w:w="8" w:type="dxa"/>
          <w:trHeight w:val="300"/>
        </w:trPr>
        <w:tc>
          <w:tcPr>
            <w:tcW w:w="936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637F" w:rsidRPr="00BA637F" w:rsidRDefault="00BA637F" w:rsidP="00BA637F">
            <w:pPr>
              <w:ind w:left="0"/>
              <w:rPr>
                <w:rFonts w:ascii="Calibri" w:hAnsi="Calibri" w:cs="Calibri"/>
                <w:sz w:val="16"/>
                <w:szCs w:val="16"/>
                <w:lang w:val="es-ES"/>
              </w:rPr>
            </w:pPr>
          </w:p>
        </w:tc>
      </w:tr>
      <w:tr w:rsidR="00BA637F" w:rsidRPr="00BA637F" w:rsidTr="00BA637F">
        <w:trPr>
          <w:gridAfter w:val="1"/>
          <w:wAfter w:w="8" w:type="dxa"/>
          <w:trHeight w:val="300"/>
        </w:trPr>
        <w:tc>
          <w:tcPr>
            <w:tcW w:w="936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637F" w:rsidRPr="00BA637F" w:rsidRDefault="00BA637F" w:rsidP="00BA637F">
            <w:pPr>
              <w:ind w:left="0"/>
              <w:rPr>
                <w:rFonts w:ascii="Calibri" w:hAnsi="Calibri" w:cs="Calibri"/>
                <w:sz w:val="16"/>
                <w:szCs w:val="16"/>
                <w:lang w:val="es-ES"/>
              </w:rPr>
            </w:pPr>
          </w:p>
        </w:tc>
      </w:tr>
      <w:tr w:rsidR="00BA637F" w:rsidRPr="00BA637F" w:rsidTr="00BA637F">
        <w:trPr>
          <w:gridAfter w:val="1"/>
          <w:wAfter w:w="8" w:type="dxa"/>
          <w:trHeight w:val="300"/>
        </w:trPr>
        <w:tc>
          <w:tcPr>
            <w:tcW w:w="936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637F" w:rsidRPr="00BA637F" w:rsidRDefault="00BA637F" w:rsidP="00BA637F">
            <w:pPr>
              <w:ind w:left="0"/>
              <w:rPr>
                <w:rFonts w:ascii="Calibri" w:hAnsi="Calibri" w:cs="Calibri"/>
                <w:sz w:val="16"/>
                <w:szCs w:val="16"/>
                <w:lang w:val="es-ES"/>
              </w:rPr>
            </w:pPr>
          </w:p>
        </w:tc>
      </w:tr>
      <w:tr w:rsidR="00BA637F" w:rsidRPr="00BA637F" w:rsidTr="00BA637F">
        <w:trPr>
          <w:gridAfter w:val="1"/>
          <w:wAfter w:w="8" w:type="dxa"/>
          <w:trHeight w:val="300"/>
        </w:trPr>
        <w:tc>
          <w:tcPr>
            <w:tcW w:w="936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637F" w:rsidRPr="00BA637F" w:rsidRDefault="00BA637F" w:rsidP="00BA637F">
            <w:pPr>
              <w:ind w:left="0"/>
              <w:rPr>
                <w:rFonts w:ascii="Calibri" w:hAnsi="Calibri" w:cs="Calibri"/>
                <w:sz w:val="16"/>
                <w:szCs w:val="16"/>
                <w:lang w:val="es-ES"/>
              </w:rPr>
            </w:pPr>
          </w:p>
        </w:tc>
      </w:tr>
    </w:tbl>
    <w:p w:rsidR="003F77CA" w:rsidRPr="00BA637F" w:rsidRDefault="003F77CA" w:rsidP="00BA637F">
      <w:pPr>
        <w:spacing w:before="120" w:after="120" w:line="360" w:lineRule="auto"/>
        <w:ind w:firstLine="2268"/>
        <w:rPr>
          <w:rFonts w:ascii="Arial" w:hAnsi="Arial" w:cs="Arial"/>
          <w:sz w:val="22"/>
          <w:szCs w:val="22"/>
          <w:lang w:val="es-ES"/>
        </w:rPr>
      </w:pPr>
    </w:p>
    <w:p w:rsidR="00FA2BBB" w:rsidRDefault="00FA2BBB" w:rsidP="00A4159B">
      <w:pPr>
        <w:spacing w:before="120" w:after="120"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Tal como se informara en el mes de julio, continuamos con las visitas a las escuelas</w:t>
      </w:r>
      <w:r w:rsidR="009E7DAA">
        <w:rPr>
          <w:rFonts w:ascii="Arial" w:hAnsi="Arial" w:cs="Arial"/>
          <w:sz w:val="22"/>
          <w:szCs w:val="22"/>
        </w:rPr>
        <w:t xml:space="preserve"> secundarias</w:t>
      </w:r>
      <w:r>
        <w:rPr>
          <w:rFonts w:ascii="Arial" w:hAnsi="Arial" w:cs="Arial"/>
          <w:sz w:val="22"/>
          <w:szCs w:val="22"/>
        </w:rPr>
        <w:t xml:space="preserve"> en el marco de</w:t>
      </w:r>
      <w:r w:rsidR="00E6769D">
        <w:rPr>
          <w:rFonts w:ascii="Arial" w:hAnsi="Arial" w:cs="Arial"/>
          <w:sz w:val="22"/>
          <w:szCs w:val="22"/>
        </w:rPr>
        <w:t>l programa Joven Parlamentario 2025.</w:t>
      </w:r>
    </w:p>
    <w:p w:rsidR="00E6769D" w:rsidRDefault="00E6769D" w:rsidP="00A4159B">
      <w:pPr>
        <w:spacing w:before="120" w:after="120"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A547C">
        <w:rPr>
          <w:rFonts w:ascii="Arial" w:hAnsi="Arial" w:cs="Arial"/>
          <w:sz w:val="22"/>
          <w:szCs w:val="22"/>
        </w:rPr>
        <w:t xml:space="preserve">El </w:t>
      </w:r>
      <w:r w:rsidR="00885A74">
        <w:rPr>
          <w:rFonts w:ascii="Arial" w:hAnsi="Arial" w:cs="Arial"/>
          <w:sz w:val="22"/>
          <w:szCs w:val="22"/>
        </w:rPr>
        <w:t>día</w:t>
      </w:r>
      <w:r w:rsidR="00DA547C">
        <w:rPr>
          <w:rFonts w:ascii="Arial" w:hAnsi="Arial" w:cs="Arial"/>
          <w:sz w:val="22"/>
          <w:szCs w:val="22"/>
        </w:rPr>
        <w:t xml:space="preserve"> miércoles 6 de agosto los y las concejales visitaron la E.E.S Nº 8, E.E.S. Nº 9 y el Instituto Divino Corazón; el día viernes 8 de agosto fueron recibidas en el Recinto del HCD la E.E.S. Nº 3 y E.E.S. Nº 5; el día viernes 22 de agosto fue visitada la E.E.A. Nº 1; el día miércoles 27 de agosto se visitó la E.E.S. Nº 6 en su anexo de Don Cipriano y finalmente el día</w:t>
      </w:r>
      <w:r w:rsidR="006C6D33">
        <w:rPr>
          <w:rFonts w:ascii="Arial" w:hAnsi="Arial" w:cs="Arial"/>
          <w:sz w:val="22"/>
          <w:szCs w:val="22"/>
        </w:rPr>
        <w:t xml:space="preserve"> viernes 29 de agosto se visitó </w:t>
      </w:r>
      <w:r w:rsidR="00DA547C">
        <w:rPr>
          <w:rFonts w:ascii="Arial" w:hAnsi="Arial" w:cs="Arial"/>
          <w:sz w:val="22"/>
          <w:szCs w:val="22"/>
        </w:rPr>
        <w:t xml:space="preserve">la E.E.S Municipal. </w:t>
      </w:r>
      <w:r w:rsidR="006C6D33">
        <w:rPr>
          <w:rFonts w:ascii="Arial" w:hAnsi="Arial" w:cs="Arial"/>
          <w:sz w:val="22"/>
          <w:szCs w:val="22"/>
        </w:rPr>
        <w:t>Dando por finalizadas las visitas, sumando un total de 15 escu</w:t>
      </w:r>
      <w:r w:rsidR="00885A74">
        <w:rPr>
          <w:rFonts w:ascii="Arial" w:hAnsi="Arial" w:cs="Arial"/>
          <w:sz w:val="22"/>
          <w:szCs w:val="22"/>
        </w:rPr>
        <w:t>elas secundarias que participará</w:t>
      </w:r>
      <w:r w:rsidR="006C6D33">
        <w:rPr>
          <w:rFonts w:ascii="Arial" w:hAnsi="Arial" w:cs="Arial"/>
          <w:sz w:val="22"/>
          <w:szCs w:val="22"/>
        </w:rPr>
        <w:t>n del programa Joven Parlamentario 2025.</w:t>
      </w:r>
    </w:p>
    <w:p w:rsidR="005716BB" w:rsidRDefault="005716BB" w:rsidP="00A4159B">
      <w:pPr>
        <w:spacing w:before="120" w:after="120" w:line="360" w:lineRule="auto"/>
        <w:ind w:firstLine="2268"/>
        <w:jc w:val="both"/>
        <w:rPr>
          <w:rFonts w:ascii="Arial" w:hAnsi="Arial" w:cs="Arial"/>
          <w:sz w:val="22"/>
          <w:szCs w:val="22"/>
        </w:rPr>
      </w:pPr>
    </w:p>
    <w:p w:rsidR="001141D0" w:rsidRDefault="00885A74" w:rsidP="001141D0">
      <w:pPr>
        <w:shd w:val="clear" w:color="auto" w:fill="FFFFFF"/>
        <w:spacing w:after="225" w:line="360" w:lineRule="auto"/>
        <w:ind w:left="0"/>
        <w:jc w:val="both"/>
        <w:textAlignment w:val="baseline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</w:rPr>
        <w:tab/>
      </w:r>
      <w:r w:rsidR="001141D0">
        <w:rPr>
          <w:rFonts w:ascii="Arial" w:hAnsi="Arial" w:cs="Arial"/>
          <w:sz w:val="22"/>
          <w:szCs w:val="22"/>
        </w:rPr>
        <w:tab/>
      </w:r>
      <w:r w:rsidR="001141D0">
        <w:rPr>
          <w:rFonts w:ascii="Arial" w:hAnsi="Arial" w:cs="Arial"/>
          <w:sz w:val="22"/>
          <w:szCs w:val="22"/>
        </w:rPr>
        <w:tab/>
      </w:r>
      <w:r w:rsidR="001141D0">
        <w:rPr>
          <w:rFonts w:ascii="Arial" w:hAnsi="Arial" w:cs="Arial"/>
          <w:sz w:val="22"/>
          <w:szCs w:val="22"/>
        </w:rPr>
        <w:tab/>
      </w:r>
      <w:r w:rsidR="001141D0" w:rsidRPr="004266C3">
        <w:rPr>
          <w:rFonts w:ascii="Arial" w:eastAsia="Arial" w:hAnsi="Arial" w:cs="Arial"/>
          <w:bCs/>
          <w:sz w:val="22"/>
          <w:szCs w:val="22"/>
        </w:rPr>
        <w:t xml:space="preserve">Dando cierre a las tareas realizadas en el mes de </w:t>
      </w:r>
      <w:r w:rsidR="003F77CA">
        <w:rPr>
          <w:rFonts w:ascii="Arial" w:eastAsia="Arial" w:hAnsi="Arial" w:cs="Arial"/>
          <w:bCs/>
          <w:sz w:val="22"/>
          <w:szCs w:val="22"/>
        </w:rPr>
        <w:t>AGOSTO</w:t>
      </w:r>
      <w:r w:rsidR="001141D0" w:rsidRPr="004266C3">
        <w:rPr>
          <w:rFonts w:ascii="Arial" w:eastAsia="Arial" w:hAnsi="Arial" w:cs="Arial"/>
          <w:bCs/>
          <w:sz w:val="22"/>
          <w:szCs w:val="22"/>
        </w:rPr>
        <w:t xml:space="preserve"> de 2025, a</w:t>
      </w:r>
      <w:r w:rsidR="001141D0" w:rsidRPr="004266C3">
        <w:rPr>
          <w:rFonts w:ascii="Arial" w:hAnsi="Arial" w:cs="Arial"/>
          <w:sz w:val="22"/>
          <w:szCs w:val="22"/>
        </w:rPr>
        <w:t>gradezco la atención que sirvan darle a este informe. Quedo a disposición frente a cualquier consulta, y nuevamente invitarlos a participar del Observatorio Social Legislativo activamente</w:t>
      </w:r>
      <w:r w:rsidR="001141D0" w:rsidRPr="004266C3">
        <w:rPr>
          <w:rFonts w:ascii="Arial" w:eastAsia="Arial" w:hAnsi="Arial" w:cs="Arial"/>
          <w:bCs/>
          <w:sz w:val="22"/>
          <w:szCs w:val="22"/>
        </w:rPr>
        <w:t xml:space="preserve"> acercando propuestas o inquietudes.</w:t>
      </w:r>
    </w:p>
    <w:p w:rsidR="001141D0" w:rsidRDefault="001141D0" w:rsidP="001141D0">
      <w:pPr>
        <w:shd w:val="clear" w:color="auto" w:fill="FFFFFF"/>
        <w:spacing w:after="225" w:line="360" w:lineRule="auto"/>
        <w:ind w:left="0"/>
        <w:jc w:val="both"/>
        <w:textAlignment w:val="baseline"/>
        <w:rPr>
          <w:rFonts w:ascii="Arial" w:hAnsi="Arial" w:cs="Arial"/>
          <w:sz w:val="22"/>
          <w:szCs w:val="22"/>
          <w:lang w:val="es-ES"/>
        </w:rPr>
      </w:pPr>
    </w:p>
    <w:p w:rsidR="001141D0" w:rsidRPr="001141D0" w:rsidRDefault="001141D0" w:rsidP="001141D0">
      <w:pPr>
        <w:shd w:val="clear" w:color="auto" w:fill="FFFFFF"/>
        <w:spacing w:after="225" w:line="360" w:lineRule="auto"/>
        <w:ind w:left="0"/>
        <w:jc w:val="both"/>
        <w:textAlignment w:val="baseline"/>
        <w:rPr>
          <w:rFonts w:ascii="Arial" w:hAnsi="Arial" w:cs="Arial"/>
          <w:sz w:val="22"/>
          <w:szCs w:val="22"/>
          <w:lang w:val="es-ES"/>
        </w:rPr>
      </w:pPr>
      <w:r w:rsidRPr="004266C3">
        <w:rPr>
          <w:rFonts w:ascii="Arial" w:hAnsi="Arial" w:cs="Arial"/>
          <w:sz w:val="22"/>
          <w:szCs w:val="22"/>
        </w:rPr>
        <w:t>Saluda a Uds. Cordialmente</w:t>
      </w:r>
    </w:p>
    <w:p w:rsidR="001141D0" w:rsidRPr="004266C3" w:rsidRDefault="001141D0" w:rsidP="001141D0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4266C3">
        <w:rPr>
          <w:rFonts w:ascii="Arial" w:hAnsi="Arial" w:cs="Arial"/>
          <w:sz w:val="22"/>
          <w:szCs w:val="22"/>
        </w:rPr>
        <w:t>Julieta E. Páez.</w:t>
      </w:r>
      <w:r w:rsidRPr="004266C3">
        <w:rPr>
          <w:rFonts w:ascii="Arial" w:hAnsi="Arial" w:cs="Arial"/>
          <w:sz w:val="22"/>
          <w:szCs w:val="22"/>
        </w:rPr>
        <w:tab/>
      </w:r>
      <w:r w:rsidRPr="004266C3">
        <w:rPr>
          <w:rFonts w:ascii="Arial" w:eastAsia="Arial" w:hAnsi="Arial" w:cs="Arial"/>
          <w:b/>
          <w:bCs/>
          <w:sz w:val="22"/>
          <w:szCs w:val="22"/>
          <w:lang w:val="es-ES"/>
        </w:rPr>
        <w:br/>
      </w:r>
    </w:p>
    <w:p w:rsidR="00885A74" w:rsidRDefault="00885A74" w:rsidP="00A4159B">
      <w:pPr>
        <w:spacing w:before="120" w:after="120" w:line="360" w:lineRule="auto"/>
        <w:ind w:firstLine="2268"/>
        <w:jc w:val="both"/>
        <w:rPr>
          <w:rFonts w:ascii="Arial" w:hAnsi="Arial" w:cs="Arial"/>
          <w:sz w:val="22"/>
          <w:szCs w:val="22"/>
        </w:rPr>
      </w:pPr>
    </w:p>
    <w:p w:rsidR="00E6769D" w:rsidRPr="004266C3" w:rsidRDefault="00E6769D" w:rsidP="00A4159B">
      <w:pPr>
        <w:spacing w:before="120" w:after="120" w:line="360" w:lineRule="auto"/>
        <w:ind w:firstLine="2268"/>
        <w:jc w:val="both"/>
        <w:rPr>
          <w:rFonts w:ascii="Arial" w:hAnsi="Arial" w:cs="Arial"/>
          <w:sz w:val="22"/>
          <w:szCs w:val="22"/>
        </w:rPr>
      </w:pPr>
    </w:p>
    <w:p w:rsidR="00710D68" w:rsidRPr="00A4159B" w:rsidRDefault="00710D68"/>
    <w:sectPr w:rsidR="00710D68" w:rsidRPr="00A4159B" w:rsidSect="00710D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159B"/>
    <w:rsid w:val="00012297"/>
    <w:rsid w:val="00062E49"/>
    <w:rsid w:val="001141D0"/>
    <w:rsid w:val="00171D92"/>
    <w:rsid w:val="001C5513"/>
    <w:rsid w:val="002D0DAA"/>
    <w:rsid w:val="003F77CA"/>
    <w:rsid w:val="00480072"/>
    <w:rsid w:val="004F76E0"/>
    <w:rsid w:val="005716BB"/>
    <w:rsid w:val="005B5E12"/>
    <w:rsid w:val="0060366C"/>
    <w:rsid w:val="006C6D33"/>
    <w:rsid w:val="00700172"/>
    <w:rsid w:val="00710D68"/>
    <w:rsid w:val="00885A74"/>
    <w:rsid w:val="008E15E2"/>
    <w:rsid w:val="00910408"/>
    <w:rsid w:val="0097116C"/>
    <w:rsid w:val="009E7DAA"/>
    <w:rsid w:val="00A4159B"/>
    <w:rsid w:val="00B04146"/>
    <w:rsid w:val="00BA637F"/>
    <w:rsid w:val="00BF0059"/>
    <w:rsid w:val="00C3709D"/>
    <w:rsid w:val="00D74613"/>
    <w:rsid w:val="00DA547C"/>
    <w:rsid w:val="00E6769D"/>
    <w:rsid w:val="00E9727A"/>
    <w:rsid w:val="00FA2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59B"/>
    <w:pPr>
      <w:spacing w:after="0" w:line="240" w:lineRule="auto"/>
      <w:ind w:left="170"/>
    </w:pPr>
    <w:rPr>
      <w:rFonts w:ascii="Times New Roman" w:eastAsia="Times New Roman" w:hAnsi="Times New Roman" w:cs="Times New Roman"/>
      <w:sz w:val="20"/>
      <w:szCs w:val="20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159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159B"/>
    <w:rPr>
      <w:rFonts w:ascii="Tahoma" w:eastAsia="Times New Roman" w:hAnsi="Tahoma" w:cs="Tahoma"/>
      <w:sz w:val="16"/>
      <w:szCs w:val="16"/>
      <w:lang w:val="es-AR" w:eastAsia="es-ES"/>
    </w:rPr>
  </w:style>
  <w:style w:type="paragraph" w:styleId="Prrafodelista">
    <w:name w:val="List Paragraph"/>
    <w:basedOn w:val="Normal"/>
    <w:uiPriority w:val="34"/>
    <w:qFormat/>
    <w:rsid w:val="00BA63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0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3</Pages>
  <Words>1146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Julieta</dc:creator>
  <cp:lastModifiedBy>Julieta</cp:lastModifiedBy>
  <cp:revision>13</cp:revision>
  <dcterms:created xsi:type="dcterms:W3CDTF">2025-09-17T14:12:00Z</dcterms:created>
  <dcterms:modified xsi:type="dcterms:W3CDTF">2025-12-05T16:03:00Z</dcterms:modified>
</cp:coreProperties>
</file>